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7C" w:rsidRPr="000F1083" w:rsidRDefault="00096732" w:rsidP="000F1083">
      <w:pPr>
        <w:jc w:val="center"/>
        <w:rPr>
          <w:rFonts w:ascii="Times New Roman" w:hAnsi="Times New Roman" w:cs="Times New Roman"/>
          <w:sz w:val="28"/>
          <w:szCs w:val="28"/>
          <w:lang w:val="mn-MN"/>
        </w:rPr>
      </w:pPr>
      <w:r w:rsidRPr="000F1083">
        <w:rPr>
          <w:rFonts w:ascii="Times New Roman" w:hAnsi="Times New Roman" w:cs="Times New Roman"/>
          <w:sz w:val="28"/>
          <w:szCs w:val="28"/>
          <w:lang w:val="mn-MN"/>
        </w:rPr>
        <w:t>“</w:t>
      </w:r>
      <w:r w:rsidRPr="000F1083">
        <w:rPr>
          <w:rFonts w:ascii="Times New Roman Mon" w:hAnsi="Times New Roman Mon"/>
          <w:sz w:val="28"/>
          <w:szCs w:val="28"/>
          <w:lang w:val="mn-MN"/>
        </w:rPr>
        <w:t>Монголын х</w:t>
      </w:r>
      <w:r w:rsidRPr="000F1083">
        <w:rPr>
          <w:rFonts w:ascii="Times New Roman" w:hAnsi="Times New Roman" w:cs="Times New Roman"/>
          <w:sz w:val="28"/>
          <w:szCs w:val="28"/>
          <w:lang w:val="mn-MN"/>
        </w:rPr>
        <w:t>өгжил үндэсний нэгдэл” ХК</w:t>
      </w:r>
    </w:p>
    <w:p w:rsidR="00096732" w:rsidRDefault="00096732">
      <w:pPr>
        <w:rPr>
          <w:rFonts w:ascii="Times New Roman" w:hAnsi="Times New Roman" w:cs="Times New Roman"/>
          <w:lang w:val="mn-MN"/>
        </w:rPr>
      </w:pPr>
      <w:r>
        <w:rPr>
          <w:rFonts w:ascii="Times New Roman" w:hAnsi="Times New Roman" w:cs="Times New Roman"/>
          <w:lang w:val="mn-MN"/>
        </w:rPr>
        <w:t>Нэг. ТАНИЛЦУУЛГА</w:t>
      </w:r>
    </w:p>
    <w:p w:rsidR="008E1C27" w:rsidRDefault="00096732">
      <w:pPr>
        <w:rPr>
          <w:rFonts w:ascii="Times New Roman" w:hAnsi="Times New Roman" w:cs="Times New Roman"/>
          <w:lang w:val="mn-MN"/>
        </w:rPr>
      </w:pPr>
      <w:r>
        <w:rPr>
          <w:rFonts w:ascii="Times New Roman" w:hAnsi="Times New Roman" w:cs="Times New Roman"/>
          <w:lang w:val="mn-MN"/>
        </w:rPr>
        <w:t xml:space="preserve">“Монголын хөгжил үндэсний нэгдэл ”ХК нь </w:t>
      </w:r>
      <w:r w:rsidR="005156C7">
        <w:rPr>
          <w:rFonts w:ascii="Times New Roman" w:hAnsi="Times New Roman" w:cs="Times New Roman"/>
          <w:lang w:val="mn-MN"/>
        </w:rPr>
        <w:t>2018</w:t>
      </w:r>
      <w:r w:rsidR="00A26DC4">
        <w:rPr>
          <w:rFonts w:ascii="Times New Roman" w:hAnsi="Times New Roman" w:cs="Times New Roman"/>
          <w:lang w:val="mn-MN"/>
        </w:rPr>
        <w:t xml:space="preserve"> он</w:t>
      </w:r>
      <w:r w:rsidR="004811B5">
        <w:rPr>
          <w:rFonts w:ascii="Times New Roman" w:hAnsi="Times New Roman" w:cs="Times New Roman"/>
          <w:lang w:val="mn-MN"/>
        </w:rPr>
        <w:t>ы</w:t>
      </w:r>
      <w:r w:rsidR="00A26DC4">
        <w:rPr>
          <w:rFonts w:ascii="Times New Roman" w:hAnsi="Times New Roman" w:cs="Times New Roman"/>
          <w:lang w:val="mn-MN"/>
        </w:rPr>
        <w:t xml:space="preserve"> тайлант хугацаанд Хувьцаа эзэмшигчдийн хурлийн хурал болон татвар, санхүүгийн тайланг цаг тухай бүр холбогдох журмын</w:t>
      </w:r>
      <w:r w:rsidR="008E1C27">
        <w:rPr>
          <w:rFonts w:ascii="Times New Roman" w:hAnsi="Times New Roman" w:cs="Times New Roman"/>
          <w:lang w:val="mn-MN"/>
        </w:rPr>
        <w:t xml:space="preserve"> дагуу</w:t>
      </w:r>
      <w:r w:rsidR="00A26DC4">
        <w:rPr>
          <w:rFonts w:ascii="Times New Roman" w:hAnsi="Times New Roman" w:cs="Times New Roman"/>
          <w:lang w:val="mn-MN"/>
        </w:rPr>
        <w:t xml:space="preserve"> </w:t>
      </w:r>
      <w:r w:rsidR="008E1C27">
        <w:rPr>
          <w:rFonts w:ascii="Times New Roman" w:hAnsi="Times New Roman" w:cs="Times New Roman"/>
          <w:lang w:val="mn-MN"/>
        </w:rPr>
        <w:t xml:space="preserve">хүргүүлсэн.СЗХ,МХБ-ээс гаргасан заавар журмын </w:t>
      </w:r>
      <w:r w:rsidR="00A26DC4">
        <w:rPr>
          <w:rFonts w:ascii="Times New Roman" w:hAnsi="Times New Roman" w:cs="Times New Roman"/>
          <w:lang w:val="mn-MN"/>
        </w:rPr>
        <w:t xml:space="preserve">дагуу </w:t>
      </w:r>
      <w:r w:rsidR="008E1C27">
        <w:rPr>
          <w:rFonts w:ascii="Times New Roman" w:hAnsi="Times New Roman" w:cs="Times New Roman"/>
          <w:lang w:val="mn-MN"/>
        </w:rPr>
        <w:t>компаний дүрэм, журам, гэрээг  байгуулан ажилласан.</w:t>
      </w:r>
    </w:p>
    <w:p w:rsidR="000133A0" w:rsidRPr="00096732" w:rsidRDefault="000133A0" w:rsidP="000133A0">
      <w:pPr>
        <w:rPr>
          <w:rFonts w:ascii="Times New Roman" w:hAnsi="Times New Roman" w:cs="Times New Roman"/>
          <w:lang w:val="mn-MN"/>
        </w:rPr>
      </w:pPr>
      <w:r>
        <w:rPr>
          <w:rFonts w:ascii="Times New Roman" w:hAnsi="Times New Roman" w:cs="Times New Roman"/>
          <w:lang w:val="mn-MN"/>
        </w:rPr>
        <w:t xml:space="preserve">Монгол улсын хөгжлийн гарааны шинэ үед ирж байгаа бөгөөд өнөө үед компани энэ боломжийг ашиглан цар хүрээгээ өргөжүүлж, санхүүгийн болон бизнесийн шинэ төсөл боловсруулж хувьцаа эзэмшигчиддээ үр өгөөжтэй компаний сайн засаглалын кодекс хэрэгжүүлэн ажиллах үүднээс төсөл хөтөлбөрүүдэд судалгаа шинжилгээ хийх , хэргэжүүлэх боломжийн судалгаа хийсээр байна. </w:t>
      </w:r>
    </w:p>
    <w:p w:rsidR="00A26DC4" w:rsidRDefault="008E1C27">
      <w:pPr>
        <w:rPr>
          <w:rFonts w:ascii="Times New Roman" w:hAnsi="Times New Roman" w:cs="Times New Roman"/>
          <w:lang w:val="mn-MN"/>
        </w:rPr>
      </w:pPr>
      <w:r>
        <w:rPr>
          <w:rFonts w:ascii="Times New Roman" w:hAnsi="Times New Roman" w:cs="Times New Roman"/>
          <w:lang w:val="mn-MN"/>
        </w:rPr>
        <w:t>“Монголын хөгжил үндэсний нэгдэл” ХК-ийн 2015.05.03 ны өдрийн Төлөөлөн удирдах зөвлөлийн тогтоолоор Монгол улсын Их хурлаас</w:t>
      </w:r>
      <w:r w:rsidR="00A26DC4">
        <w:rPr>
          <w:rFonts w:ascii="Times New Roman" w:hAnsi="Times New Roman" w:cs="Times New Roman"/>
          <w:lang w:val="mn-MN"/>
        </w:rPr>
        <w:t xml:space="preserve"> </w:t>
      </w:r>
      <w:r>
        <w:rPr>
          <w:rFonts w:ascii="Times New Roman" w:hAnsi="Times New Roman" w:cs="Times New Roman"/>
          <w:lang w:val="mn-MN"/>
        </w:rPr>
        <w:t>2015 оны 02-р сарын 12-ны өдрийн баталсан Чөлөөт бүсийн тухай хууль, түүнтэй холбоотой бусад хуулиуд, эрх зүйн хүрээнд “Алтанбулаг чөлөөт бүс”-ийн хөрөнгө оруулагчдын зөвлөлөийн дэргэд Алтанбулагийн чөлөөт бүсийн менежментийг хэрэгжүүлэх чиглэлээр ”Алтанбулаг консерциум” ХХК</w:t>
      </w:r>
      <w:r w:rsidR="00AA759C">
        <w:rPr>
          <w:rFonts w:ascii="Times New Roman" w:hAnsi="Times New Roman" w:cs="Times New Roman"/>
          <w:lang w:val="mn-MN"/>
        </w:rPr>
        <w:t>-нд хөрөнгө оруулалт хийлээ.</w:t>
      </w:r>
    </w:p>
    <w:p w:rsidR="00AA759C" w:rsidRDefault="00AA759C">
      <w:pPr>
        <w:rPr>
          <w:rFonts w:ascii="Times New Roman" w:hAnsi="Times New Roman" w:cs="Times New Roman"/>
          <w:lang w:val="mn-MN"/>
        </w:rPr>
      </w:pPr>
      <w:r>
        <w:rPr>
          <w:rFonts w:ascii="Times New Roman" w:hAnsi="Times New Roman" w:cs="Times New Roman"/>
          <w:lang w:val="mn-MN"/>
        </w:rPr>
        <w:t>Манай хөрөнгө</w:t>
      </w:r>
      <w:r w:rsidR="005E17EB">
        <w:rPr>
          <w:rFonts w:ascii="Times New Roman" w:hAnsi="Times New Roman" w:cs="Times New Roman"/>
          <w:lang w:val="mn-MN"/>
        </w:rPr>
        <w:t xml:space="preserve"> </w:t>
      </w:r>
      <w:r>
        <w:rPr>
          <w:rFonts w:ascii="Times New Roman" w:hAnsi="Times New Roman" w:cs="Times New Roman"/>
          <w:lang w:val="mn-MN"/>
        </w:rPr>
        <w:t>оруулалт хийсэн “Алтанбулаг консерциум” ХХК нь Алтанбулаг, Замын –үүдийн чөлөөт бүсүүдэд бүртгүүлж, тодорхой хэмжээний газар эзэмшиж “Импортын мод, модон материалын хангамж, боловсруулах үйлдвэрлэлийн цогцолбор”, “Алтанбулаг, Замын-үүд чөлөөт бүс дамнасан  цайны зам  АН-3 хонгилын олон улсын авто тээвэр, ложистикийн цогцолбор ”-ийн төсөл хэрэгжүүлхээр ажиллаж байна.</w:t>
      </w:r>
    </w:p>
    <w:p w:rsidR="005E17EB" w:rsidRDefault="005E17EB">
      <w:pPr>
        <w:rPr>
          <w:rFonts w:ascii="Times New Roman" w:hAnsi="Times New Roman" w:cs="Times New Roman"/>
          <w:lang w:val="mn-MN"/>
        </w:rPr>
      </w:pPr>
      <w:r>
        <w:rPr>
          <w:rFonts w:ascii="Times New Roman" w:hAnsi="Times New Roman" w:cs="Times New Roman"/>
          <w:lang w:val="mn-MN"/>
        </w:rPr>
        <w:t>Тус компани Монголын чөлөөт бүсүүдийг хөгжүүлэх, менежмент, төсөл хөтөлбөрүүдийг хэрэгжүүлэх оператор компани болох зорилго тавин ажиллаж байна.</w:t>
      </w:r>
    </w:p>
    <w:p w:rsidR="00AA759C" w:rsidRDefault="00AA759C">
      <w:pPr>
        <w:rPr>
          <w:rFonts w:ascii="Times New Roman" w:hAnsi="Times New Roman" w:cs="Times New Roman"/>
          <w:lang w:val="mn-MN"/>
        </w:rPr>
      </w:pPr>
      <w:r>
        <w:rPr>
          <w:rFonts w:ascii="Times New Roman" w:hAnsi="Times New Roman" w:cs="Times New Roman"/>
          <w:lang w:val="mn-MN"/>
        </w:rPr>
        <w:t>МХБ-ийн бүртгэлийн хураамж 201</w:t>
      </w:r>
      <w:r w:rsidR="005156C7">
        <w:rPr>
          <w:rFonts w:ascii="Times New Roman" w:hAnsi="Times New Roman" w:cs="Times New Roman"/>
          <w:lang w:val="mn-MN"/>
        </w:rPr>
        <w:t>7</w:t>
      </w:r>
      <w:r>
        <w:rPr>
          <w:rFonts w:ascii="Times New Roman" w:hAnsi="Times New Roman" w:cs="Times New Roman"/>
          <w:lang w:val="mn-MN"/>
        </w:rPr>
        <w:t>,201</w:t>
      </w:r>
      <w:r w:rsidR="005156C7">
        <w:rPr>
          <w:rFonts w:ascii="Times New Roman" w:hAnsi="Times New Roman" w:cs="Times New Roman"/>
          <w:lang w:val="mn-MN"/>
        </w:rPr>
        <w:t>8</w:t>
      </w:r>
      <w:r>
        <w:rPr>
          <w:rFonts w:ascii="Times New Roman" w:hAnsi="Times New Roman" w:cs="Times New Roman"/>
          <w:lang w:val="mn-MN"/>
        </w:rPr>
        <w:t xml:space="preserve"> онуудын төлбөрийг төлж , МХБ-ийн сайтад холбогдох мэдээлэл өөрчлөлтийг хийж, Хувьцаа </w:t>
      </w:r>
      <w:r w:rsidRPr="00AA759C">
        <w:rPr>
          <w:rFonts w:ascii="Times New Roman" w:hAnsi="Times New Roman" w:cs="Times New Roman"/>
          <w:lang w:val="mn-MN"/>
        </w:rPr>
        <w:t xml:space="preserve"> </w:t>
      </w:r>
      <w:r>
        <w:rPr>
          <w:rFonts w:ascii="Times New Roman" w:hAnsi="Times New Roman" w:cs="Times New Roman"/>
          <w:lang w:val="mn-MN"/>
        </w:rPr>
        <w:t>эзэмшигчдийн хурлыг цаг хугацаанд нь хуралдуулж үүргийн хангалтыг хангаж ажиллаж ирлээ.</w:t>
      </w:r>
    </w:p>
    <w:p w:rsidR="000133A0" w:rsidRDefault="000133A0">
      <w:pPr>
        <w:rPr>
          <w:rFonts w:ascii="Times New Roman" w:hAnsi="Times New Roman" w:cs="Times New Roman"/>
          <w:lang w:val="mn-MN"/>
        </w:rPr>
      </w:pPr>
      <w:r>
        <w:rPr>
          <w:rFonts w:ascii="Times New Roman" w:hAnsi="Times New Roman" w:cs="Times New Roman"/>
          <w:lang w:val="mn-MN"/>
        </w:rPr>
        <w:t>Хоёр. Үйл ажиллагааны үндсэн чиглэл</w:t>
      </w:r>
    </w:p>
    <w:p w:rsidR="000133A0" w:rsidRDefault="000133A0">
      <w:pPr>
        <w:rPr>
          <w:rFonts w:ascii="Times New Roman" w:hAnsi="Times New Roman" w:cs="Times New Roman"/>
          <w:lang w:val="mn-MN"/>
        </w:rPr>
      </w:pPr>
      <w:r>
        <w:rPr>
          <w:rFonts w:ascii="Times New Roman" w:hAnsi="Times New Roman" w:cs="Times New Roman"/>
          <w:lang w:val="mn-MN"/>
        </w:rPr>
        <w:t>“Монголын хөгжил үндэсний нэгдэл” ХК нь Хувьцаа эзэмшигчдийн хурлын шийдвэрээр компаний үйл ажиллагааны үндсэн чиглэлүүд нь:</w:t>
      </w:r>
    </w:p>
    <w:p w:rsidR="000133A0" w:rsidRDefault="000133A0" w:rsidP="000133A0">
      <w:pPr>
        <w:pStyle w:val="ListParagraph"/>
        <w:numPr>
          <w:ilvl w:val="0"/>
          <w:numId w:val="1"/>
        </w:numPr>
        <w:rPr>
          <w:rFonts w:ascii="Times New Roman" w:hAnsi="Times New Roman" w:cs="Times New Roman"/>
          <w:lang w:val="mn-MN"/>
        </w:rPr>
      </w:pPr>
      <w:r>
        <w:rPr>
          <w:rFonts w:ascii="Times New Roman" w:hAnsi="Times New Roman" w:cs="Times New Roman"/>
          <w:lang w:val="mn-MN"/>
        </w:rPr>
        <w:t>Газар тариалан</w:t>
      </w:r>
    </w:p>
    <w:p w:rsidR="000133A0" w:rsidRDefault="000133A0" w:rsidP="000133A0">
      <w:pPr>
        <w:pStyle w:val="ListParagraph"/>
        <w:numPr>
          <w:ilvl w:val="0"/>
          <w:numId w:val="1"/>
        </w:numPr>
        <w:rPr>
          <w:rFonts w:ascii="Times New Roman" w:hAnsi="Times New Roman" w:cs="Times New Roman"/>
          <w:lang w:val="mn-MN"/>
        </w:rPr>
      </w:pPr>
      <w:r>
        <w:rPr>
          <w:rFonts w:ascii="Times New Roman" w:hAnsi="Times New Roman" w:cs="Times New Roman"/>
          <w:lang w:val="mn-MN"/>
        </w:rPr>
        <w:t>Гадаад худалдаа</w:t>
      </w:r>
    </w:p>
    <w:p w:rsidR="000133A0" w:rsidRDefault="000133A0" w:rsidP="000133A0">
      <w:pPr>
        <w:pStyle w:val="ListParagraph"/>
        <w:numPr>
          <w:ilvl w:val="0"/>
          <w:numId w:val="1"/>
        </w:numPr>
        <w:rPr>
          <w:rFonts w:ascii="Times New Roman" w:hAnsi="Times New Roman" w:cs="Times New Roman"/>
          <w:lang w:val="mn-MN"/>
        </w:rPr>
      </w:pPr>
      <w:r>
        <w:rPr>
          <w:rFonts w:ascii="Times New Roman" w:hAnsi="Times New Roman" w:cs="Times New Roman"/>
          <w:lang w:val="mn-MN"/>
        </w:rPr>
        <w:t>Төсөл хөтөлбөр хэрэгжүүлэх</w:t>
      </w:r>
    </w:p>
    <w:p w:rsidR="000133A0" w:rsidRDefault="000133A0" w:rsidP="000133A0">
      <w:pPr>
        <w:pStyle w:val="ListParagraph"/>
        <w:numPr>
          <w:ilvl w:val="0"/>
          <w:numId w:val="1"/>
        </w:numPr>
        <w:rPr>
          <w:rFonts w:ascii="Times New Roman" w:hAnsi="Times New Roman" w:cs="Times New Roman"/>
          <w:lang w:val="mn-MN"/>
        </w:rPr>
      </w:pPr>
      <w:r>
        <w:rPr>
          <w:rFonts w:ascii="Times New Roman" w:hAnsi="Times New Roman" w:cs="Times New Roman"/>
          <w:lang w:val="mn-MN"/>
        </w:rPr>
        <w:t>Автомашинаар ачаа тээвэрлэх</w:t>
      </w:r>
    </w:p>
    <w:p w:rsidR="000133A0" w:rsidRDefault="00FC59A2" w:rsidP="000133A0">
      <w:pPr>
        <w:pStyle w:val="ListParagraph"/>
        <w:numPr>
          <w:ilvl w:val="0"/>
          <w:numId w:val="1"/>
        </w:numPr>
        <w:rPr>
          <w:rFonts w:ascii="Times New Roman" w:hAnsi="Times New Roman" w:cs="Times New Roman"/>
          <w:lang w:val="mn-MN"/>
        </w:rPr>
      </w:pPr>
      <w:r>
        <w:rPr>
          <w:rFonts w:ascii="Times New Roman" w:hAnsi="Times New Roman" w:cs="Times New Roman"/>
          <w:lang w:val="mn-MN"/>
        </w:rPr>
        <w:t>Х</w:t>
      </w:r>
      <w:r w:rsidR="000133A0">
        <w:rPr>
          <w:rFonts w:ascii="Times New Roman" w:hAnsi="Times New Roman" w:cs="Times New Roman"/>
          <w:lang w:val="mn-MN"/>
        </w:rPr>
        <w:t>удалд</w:t>
      </w:r>
      <w:r>
        <w:rPr>
          <w:rFonts w:ascii="Times New Roman" w:hAnsi="Times New Roman" w:cs="Times New Roman"/>
          <w:lang w:val="mn-MN"/>
        </w:rPr>
        <w:t>ааны зуучлал</w:t>
      </w:r>
    </w:p>
    <w:p w:rsidR="00FC59A2" w:rsidRDefault="00FC59A2" w:rsidP="00FC59A2">
      <w:pPr>
        <w:pStyle w:val="ListParagraph"/>
        <w:rPr>
          <w:rFonts w:ascii="Times New Roman" w:hAnsi="Times New Roman" w:cs="Times New Roman"/>
          <w:lang w:val="mn-MN"/>
        </w:rPr>
      </w:pPr>
      <w:r>
        <w:rPr>
          <w:rFonts w:ascii="Times New Roman" w:hAnsi="Times New Roman" w:cs="Times New Roman"/>
          <w:lang w:val="mn-MN"/>
        </w:rPr>
        <w:t>Гурав. Компаний бүтэц зохион байгуулалт.</w:t>
      </w:r>
    </w:p>
    <w:p w:rsidR="00810D5F" w:rsidRDefault="00810D5F" w:rsidP="00FC59A2">
      <w:pPr>
        <w:pStyle w:val="ListParagraph"/>
        <w:rPr>
          <w:rFonts w:ascii="Times New Roman" w:hAnsi="Times New Roman" w:cs="Times New Roman"/>
          <w:lang w:val="mn-MN"/>
        </w:rPr>
      </w:pPr>
    </w:p>
    <w:p w:rsidR="00810D5F" w:rsidRDefault="00810D5F" w:rsidP="00FC59A2">
      <w:pPr>
        <w:pStyle w:val="ListParagraph"/>
        <w:rPr>
          <w:rFonts w:ascii="Times New Roman" w:hAnsi="Times New Roman" w:cs="Times New Roman"/>
          <w:lang w:val="mn-MN"/>
        </w:rPr>
      </w:pPr>
    </w:p>
    <w:p w:rsidR="00AD3026" w:rsidRDefault="00AD3026" w:rsidP="00FC59A2">
      <w:pPr>
        <w:pStyle w:val="ListParagraph"/>
        <w:rPr>
          <w:rFonts w:ascii="Times New Roman" w:hAnsi="Times New Roman" w:cs="Times New Roman"/>
          <w:lang w:val="mn-MN"/>
        </w:rPr>
      </w:pPr>
      <w:r>
        <w:rPr>
          <w:rFonts w:ascii="Times New Roman" w:hAnsi="Times New Roman" w:cs="Times New Roman"/>
          <w:lang w:val="mn-MN"/>
        </w:rPr>
        <w:lastRenderedPageBreak/>
        <w:t>“Монголын хөгжил үндэсний нэгдэл” ХК-ийн Төлөөлөн удирдах Зөвлөлийн даргаар Чүлтэм овогтой Амарбаатар, Гүйцэтгэх захиралаар Төмөрбаатар овогтой Наранбулаг тус тус томилон, Төлөөлөн удирдах Зөвлөлийн хороодыг дараах байдлаар томилогдон ажиллаж байна.</w:t>
      </w:r>
    </w:p>
    <w:p w:rsidR="00810D5F" w:rsidRDefault="00AD3026" w:rsidP="00FC59A2">
      <w:pPr>
        <w:pStyle w:val="ListParagraph"/>
        <w:rPr>
          <w:rFonts w:ascii="Times New Roman" w:hAnsi="Times New Roman" w:cs="Times New Roman"/>
          <w:lang w:val="mn-MN"/>
        </w:rPr>
      </w:pPr>
      <w:r>
        <w:rPr>
          <w:rFonts w:ascii="Times New Roman" w:hAnsi="Times New Roman" w:cs="Times New Roman"/>
          <w:lang w:val="mn-MN"/>
        </w:rPr>
        <w:t>Аудитын хороонд       Цалин урамшуулалын хороонд      Нэр дэвшүүлэх хороонд</w:t>
      </w:r>
    </w:p>
    <w:p w:rsidR="00810D5F" w:rsidRDefault="00AD3026" w:rsidP="00FC59A2">
      <w:pPr>
        <w:pStyle w:val="ListParagraph"/>
        <w:rPr>
          <w:rFonts w:ascii="Times New Roman" w:hAnsi="Times New Roman" w:cs="Times New Roman"/>
          <w:lang w:val="mn-MN"/>
        </w:rPr>
      </w:pPr>
      <w:r>
        <w:rPr>
          <w:rFonts w:ascii="Times New Roman" w:hAnsi="Times New Roman" w:cs="Times New Roman"/>
          <w:lang w:val="mn-MN"/>
        </w:rPr>
        <w:t>Л.Балчинлувсан           Ж.Жаргалсайхан                              Ч.Амарбаатар</w:t>
      </w:r>
    </w:p>
    <w:p w:rsidR="00810D5F" w:rsidRDefault="00AD3026" w:rsidP="00FC59A2">
      <w:pPr>
        <w:pStyle w:val="ListParagraph"/>
        <w:rPr>
          <w:rFonts w:ascii="Times New Roman" w:hAnsi="Times New Roman" w:cs="Times New Roman"/>
          <w:lang w:val="mn-MN"/>
        </w:rPr>
      </w:pPr>
      <w:r>
        <w:rPr>
          <w:rFonts w:ascii="Times New Roman" w:hAnsi="Times New Roman" w:cs="Times New Roman"/>
          <w:lang w:val="mn-MN"/>
        </w:rPr>
        <w:t>Г.Насанбаатар              М.Отгонбаатар                                 А.Ариунсайн</w:t>
      </w:r>
    </w:p>
    <w:p w:rsidR="00AD3026" w:rsidRDefault="00AD3026" w:rsidP="00FC59A2">
      <w:pPr>
        <w:pStyle w:val="ListParagraph"/>
        <w:rPr>
          <w:rFonts w:ascii="Times New Roman" w:hAnsi="Times New Roman" w:cs="Times New Roman"/>
          <w:lang w:val="mn-MN"/>
        </w:rPr>
      </w:pPr>
      <w:r>
        <w:rPr>
          <w:rFonts w:ascii="Times New Roman" w:hAnsi="Times New Roman" w:cs="Times New Roman"/>
          <w:lang w:val="mn-MN"/>
        </w:rPr>
        <w:t xml:space="preserve">Т.Наранбулаг                Б.Батбаатар                                      Л.Ариунболд </w:t>
      </w:r>
    </w:p>
    <w:p w:rsidR="00AD3026" w:rsidRPr="000133A0" w:rsidRDefault="00F47F2D" w:rsidP="00FC59A2">
      <w:pPr>
        <w:pStyle w:val="ListParagraph"/>
        <w:rPr>
          <w:rFonts w:ascii="Times New Roman" w:hAnsi="Times New Roman" w:cs="Times New Roman"/>
          <w:lang w:val="mn-MN"/>
        </w:rPr>
      </w:pPr>
      <w:r>
        <w:rPr>
          <w:rFonts w:ascii="Times New Roman" w:hAnsi="Times New Roman" w:cs="Times New Roman"/>
          <w:noProof/>
        </w:rPr>
        <w:pict>
          <v:group id="_x0000_s1026" style="position:absolute;left:0;text-align:left;margin-left:37.2pt;margin-top:38.7pt;width:424.85pt;height:264.8pt;z-index:251658240" coordorigin="1695,195" coordsize="8497,4372">
            <v:roundrect id="_x0000_s1027" style="position:absolute;left:4726;top:195;width:2081;height:665" arcsize="10923f" fillcolor="#95b3d7" strokecolor="#95b3d7" strokeweight="1pt">
              <v:fill color2="#dbe5f1" angle="-45" focus="-50%" type="gradient"/>
              <v:shadow on="t" type="perspective" color="#243f60" opacity=".5" offset="1pt" offset2="-3pt"/>
              <v:textbox style="mso-next-textbox:#_x0000_s1027">
                <w:txbxContent>
                  <w:p w:rsidR="00810D5F" w:rsidRPr="00306738" w:rsidRDefault="00810D5F" w:rsidP="00810D5F">
                    <w:pPr>
                      <w:contextualSpacing/>
                      <w:jc w:val="center"/>
                      <w:rPr>
                        <w:rFonts w:ascii="Arial" w:hAnsi="Arial" w:cs="Arial"/>
                        <w:sz w:val="16"/>
                        <w:szCs w:val="16"/>
                      </w:rPr>
                    </w:pPr>
                    <w:r w:rsidRPr="00306738">
                      <w:rPr>
                        <w:rFonts w:ascii="Arial" w:hAnsi="Arial" w:cs="Arial"/>
                        <w:sz w:val="16"/>
                        <w:szCs w:val="16"/>
                        <w:lang w:val="mn-MN"/>
                      </w:rPr>
                      <w:t>Хувьцаа</w:t>
                    </w:r>
                    <w:r>
                      <w:rPr>
                        <w:rFonts w:ascii="Arial" w:hAnsi="Arial" w:cs="Arial"/>
                        <w:sz w:val="16"/>
                        <w:szCs w:val="16"/>
                        <w:lang w:val="mn-MN"/>
                      </w:rPr>
                      <w:t xml:space="preserve"> эзэмшигчдийн хурал</w:t>
                    </w:r>
                    <w:r w:rsidRPr="00306738">
                      <w:rPr>
                        <w:rFonts w:ascii="Arial" w:hAnsi="Arial" w:cs="Arial"/>
                        <w:sz w:val="16"/>
                        <w:szCs w:val="16"/>
                        <w:lang w:val="mn-MN"/>
                      </w:rPr>
                      <w:t xml:space="preserve"> </w:t>
                    </w:r>
                  </w:p>
                  <w:p w:rsidR="00810D5F" w:rsidRPr="00306738" w:rsidRDefault="00810D5F" w:rsidP="00810D5F">
                    <w:pPr>
                      <w:jc w:val="center"/>
                      <w:rPr>
                        <w:sz w:val="16"/>
                        <w:szCs w:val="16"/>
                      </w:rPr>
                    </w:pPr>
                  </w:p>
                </w:txbxContent>
              </v:textbox>
            </v:roundrect>
            <v:roundrect id="_x0000_s1028" style="position:absolute;left:4985;top:1187;width:1617;height:777" arcsize="10923f" fillcolor="#95b3d7" strokecolor="#95b3d7" strokeweight="1pt">
              <v:fill color2="#dbe5f1" angle="-45" focus="-50%" type="gradient"/>
              <v:shadow on="t" type="perspective" color="#243f60" opacity=".5" offset="1pt" offset2="-3pt"/>
              <v:textbox style="mso-next-textbox:#_x0000_s1028">
                <w:txbxContent>
                  <w:p w:rsidR="00810D5F" w:rsidRDefault="00810D5F" w:rsidP="00810D5F">
                    <w:pPr>
                      <w:jc w:val="center"/>
                      <w:rPr>
                        <w:rFonts w:ascii="Arial" w:hAnsi="Arial" w:cs="Arial"/>
                        <w:sz w:val="16"/>
                        <w:szCs w:val="16"/>
                        <w:lang w:val="mn-MN"/>
                      </w:rPr>
                    </w:pPr>
                    <w:r w:rsidRPr="00306738">
                      <w:rPr>
                        <w:rFonts w:ascii="Arial" w:hAnsi="Arial" w:cs="Arial"/>
                        <w:sz w:val="16"/>
                        <w:szCs w:val="16"/>
                        <w:lang w:val="mn-MN"/>
                      </w:rPr>
                      <w:t>Төлөөлөн удирдах зөвлөл</w:t>
                    </w:r>
                    <w:r>
                      <w:rPr>
                        <w:rFonts w:ascii="Arial" w:hAnsi="Arial" w:cs="Arial"/>
                        <w:sz w:val="16"/>
                        <w:szCs w:val="16"/>
                        <w:lang w:val="mn-MN"/>
                      </w:rPr>
                      <w:t xml:space="preserve"> /9/</w:t>
                    </w:r>
                  </w:p>
                  <w:p w:rsidR="00810D5F" w:rsidRPr="00306738" w:rsidRDefault="00810D5F" w:rsidP="00810D5F">
                    <w:pPr>
                      <w:jc w:val="center"/>
                      <w:rPr>
                        <w:rFonts w:ascii="Arial" w:hAnsi="Arial" w:cs="Arial"/>
                        <w:sz w:val="16"/>
                        <w:szCs w:val="16"/>
                      </w:rPr>
                    </w:pPr>
                  </w:p>
                  <w:p w:rsidR="00810D5F" w:rsidRPr="00306738" w:rsidRDefault="00810D5F" w:rsidP="00810D5F">
                    <w:pPr>
                      <w:rPr>
                        <w:rFonts w:ascii="Arial" w:hAnsi="Arial" w:cs="Arial"/>
                        <w:sz w:val="16"/>
                        <w:szCs w:val="16"/>
                      </w:rPr>
                    </w:pPr>
                  </w:p>
                </w:txbxContent>
              </v:textbox>
            </v:roundrect>
            <v:roundrect id="_x0000_s1029" style="position:absolute;left:4862;top:2178;width:1782;height:620" arcsize="10923f" fillcolor="#95b3d7" strokecolor="#95b3d7" strokeweight="1pt">
              <v:fill color2="#dbe5f1" angle="-45" focus="-50%" type="gradient"/>
              <v:shadow on="t" type="perspective" color="#243f60" opacity=".5" offset="1pt" offset2="-3pt"/>
              <v:textbox style="mso-next-textbox:#_x0000_s1029">
                <w:txbxContent>
                  <w:p w:rsidR="00810D5F" w:rsidRPr="00306738" w:rsidRDefault="00810D5F" w:rsidP="00810D5F">
                    <w:pPr>
                      <w:jc w:val="center"/>
                      <w:rPr>
                        <w:rFonts w:ascii="Arial" w:hAnsi="Arial" w:cs="Arial"/>
                        <w:sz w:val="16"/>
                        <w:szCs w:val="16"/>
                      </w:rPr>
                    </w:pPr>
                    <w:r w:rsidRPr="00306738">
                      <w:rPr>
                        <w:rFonts w:ascii="Arial" w:hAnsi="Arial" w:cs="Arial"/>
                        <w:sz w:val="16"/>
                        <w:szCs w:val="16"/>
                        <w:lang w:val="mn-MN"/>
                      </w:rPr>
                      <w:t>Гүйцэтгэх захирал</w:t>
                    </w:r>
                    <w:r>
                      <w:rPr>
                        <w:rFonts w:ascii="Arial" w:hAnsi="Arial" w:cs="Arial"/>
                        <w:sz w:val="16"/>
                        <w:szCs w:val="16"/>
                        <w:lang w:val="mn-MN"/>
                      </w:rPr>
                      <w:t xml:space="preserve"> /1/</w:t>
                    </w:r>
                  </w:p>
                  <w:p w:rsidR="00810D5F" w:rsidRPr="00306738" w:rsidRDefault="00810D5F" w:rsidP="00810D5F">
                    <w:pPr>
                      <w:rPr>
                        <w:rFonts w:ascii="Arial" w:hAnsi="Arial" w:cs="Arial"/>
                        <w:sz w:val="16"/>
                        <w:szCs w:val="16"/>
                      </w:rPr>
                    </w:pPr>
                  </w:p>
                </w:txbxContent>
              </v:textbox>
            </v:roundrect>
            <v:roundrect id="_x0000_s1030" style="position:absolute;left:2167;top:2178;width:1782;height:620" arcsize="10923f" fillcolor="#95b3d7" strokecolor="#95b3d7" strokeweight="1pt">
              <v:fill color2="#dbe5f1" angle="-45" focus="-50%" type="gradient"/>
              <v:shadow on="t" type="perspective" color="#243f60" opacity=".5" offset="1pt" offset2="-3pt"/>
              <v:textbox style="mso-next-textbox:#_x0000_s1030">
                <w:txbxContent>
                  <w:p w:rsidR="00810D5F" w:rsidRPr="00306738" w:rsidRDefault="00810D5F" w:rsidP="00810D5F">
                    <w:pPr>
                      <w:jc w:val="center"/>
                      <w:rPr>
                        <w:rFonts w:ascii="Arial" w:hAnsi="Arial" w:cs="Arial"/>
                        <w:sz w:val="16"/>
                        <w:szCs w:val="16"/>
                      </w:rPr>
                    </w:pPr>
                  </w:p>
                </w:txbxContent>
              </v:textbox>
            </v:roundrect>
            <v:roundrect id="_x0000_s1031" style="position:absolute;left:1695;top:3418;width:1759;height:1149" arcsize="10923f" fillcolor="#95b3d7" strokecolor="#95b3d7" strokeweight="1pt">
              <v:fill color2="#dbe5f1" angle="-45" focus="-50%" type="gradient"/>
              <v:shadow on="t" type="perspective" color="#243f60" opacity=".5" offset="1pt" offset2="-3pt"/>
              <v:textbox style="mso-next-textbox:#_x0000_s1031">
                <w:txbxContent>
                  <w:p w:rsidR="00810D5F" w:rsidRPr="00306738" w:rsidRDefault="00810D5F" w:rsidP="00810D5F">
                    <w:pPr>
                      <w:jc w:val="center"/>
                      <w:rPr>
                        <w:rFonts w:ascii="Arial" w:hAnsi="Arial" w:cs="Arial"/>
                        <w:sz w:val="16"/>
                        <w:szCs w:val="16"/>
                      </w:rPr>
                    </w:pPr>
                    <w:r>
                      <w:rPr>
                        <w:rFonts w:ascii="Arial" w:hAnsi="Arial" w:cs="Arial"/>
                        <w:sz w:val="16"/>
                        <w:szCs w:val="16"/>
                        <w:lang w:val="mn-MN"/>
                      </w:rPr>
                      <w:t>/</w:t>
                    </w:r>
                  </w:p>
                  <w:p w:rsidR="00810D5F" w:rsidRPr="00306738" w:rsidRDefault="00810D5F" w:rsidP="00810D5F">
                    <w:pPr>
                      <w:rPr>
                        <w:rFonts w:ascii="Arial" w:hAnsi="Arial" w:cs="Arial"/>
                        <w:sz w:val="16"/>
                        <w:szCs w:val="16"/>
                      </w:rPr>
                    </w:pPr>
                  </w:p>
                </w:txbxContent>
              </v:textbox>
            </v:roundrect>
            <v:roundrect id="_x0000_s1032" style="position:absolute;left:7812;top:2178;width:1782;height:620" arcsize="10923f" fillcolor="#95b3d7" strokecolor="#95b3d7" strokeweight="1pt">
              <v:fill color2="#dbe5f1" angle="-45" focus="-50%" type="gradient"/>
              <v:shadow on="t" type="perspective" color="#243f60" opacity=".5" offset="1pt" offset2="-3pt"/>
              <v:textbox style="mso-next-textbox:#_x0000_s1032">
                <w:txbxContent>
                  <w:p w:rsidR="00810D5F" w:rsidRPr="00306738" w:rsidRDefault="00810D5F" w:rsidP="00810D5F">
                    <w:pPr>
                      <w:jc w:val="center"/>
                      <w:rPr>
                        <w:rFonts w:ascii="Arial" w:hAnsi="Arial" w:cs="Arial"/>
                        <w:sz w:val="16"/>
                        <w:szCs w:val="16"/>
                        <w:lang w:val="mn-MN"/>
                      </w:rPr>
                    </w:pPr>
                    <w:r>
                      <w:rPr>
                        <w:rFonts w:ascii="Arial" w:hAnsi="Arial" w:cs="Arial"/>
                        <w:sz w:val="16"/>
                        <w:szCs w:val="16"/>
                        <w:lang w:val="mn-MN"/>
                      </w:rPr>
                      <w:t>ТУЗ-ийн нарын бичгийн дарга</w:t>
                    </w:r>
                  </w:p>
                </w:txbxContent>
              </v:textbox>
            </v:roundrect>
            <v:roundrect id="_x0000_s1033" style="position:absolute;left:3739;top:3395;width:1632;height:1172" arcsize="10923f" fillcolor="#95b3d7" strokecolor="#95b3d7" strokeweight="1pt">
              <v:fill color2="#dbe5f1" angle="-45" focus="-50%" type="gradient"/>
              <v:shadow on="t" type="perspective" color="#243f60" opacity=".5" offset="1pt" offset2="-3pt"/>
              <v:textbox style="mso-next-textbox:#_x0000_s1033">
                <w:txbxContent>
                  <w:p w:rsidR="00810D5F" w:rsidRPr="00306738" w:rsidRDefault="00810D5F" w:rsidP="00810D5F">
                    <w:pPr>
                      <w:jc w:val="center"/>
                      <w:rPr>
                        <w:rFonts w:ascii="Arial" w:hAnsi="Arial" w:cs="Arial"/>
                        <w:sz w:val="16"/>
                        <w:szCs w:val="16"/>
                      </w:rPr>
                    </w:pPr>
                  </w:p>
                  <w:p w:rsidR="00810D5F" w:rsidRPr="00306738" w:rsidRDefault="00810D5F" w:rsidP="00810D5F">
                    <w:pPr>
                      <w:rPr>
                        <w:sz w:val="16"/>
                        <w:szCs w:val="16"/>
                      </w:rPr>
                    </w:pPr>
                  </w:p>
                </w:txbxContent>
              </v:textbox>
            </v:roundrect>
            <v:roundrect id="_x0000_s1034" style="position:absolute;left:5715;top:3373;width:1812;height:1149" arcsize="10923f" fillcolor="#95b3d7" strokecolor="#95b3d7" strokeweight="1pt">
              <v:fill color2="#dbe5f1" angle="-45" focus="-50%" type="gradient"/>
              <v:shadow on="t" type="perspective" color="#243f60" opacity=".5" offset="1pt" offset2="-3pt"/>
              <v:textbox style="mso-next-textbox:#_x0000_s1034">
                <w:txbxContent>
                  <w:p w:rsidR="00810D5F" w:rsidRPr="00306738" w:rsidRDefault="00810D5F" w:rsidP="00810D5F">
                    <w:pPr>
                      <w:jc w:val="center"/>
                      <w:rPr>
                        <w:rFonts w:ascii="Arial" w:hAnsi="Arial" w:cs="Arial"/>
                        <w:sz w:val="16"/>
                        <w:szCs w:val="16"/>
                      </w:rPr>
                    </w:pPr>
                  </w:p>
                  <w:p w:rsidR="00810D5F" w:rsidRPr="00306738" w:rsidRDefault="00810D5F" w:rsidP="00810D5F">
                    <w:pPr>
                      <w:jc w:val="center"/>
                      <w:rPr>
                        <w:rFonts w:ascii="Arial" w:hAnsi="Arial" w:cs="Arial"/>
                        <w:sz w:val="16"/>
                        <w:szCs w:val="16"/>
                      </w:rPr>
                    </w:pPr>
                  </w:p>
                  <w:p w:rsidR="00810D5F" w:rsidRPr="00306738" w:rsidRDefault="00810D5F" w:rsidP="00810D5F">
                    <w:pPr>
                      <w:jc w:val="center"/>
                      <w:rPr>
                        <w:rFonts w:ascii="Arial" w:hAnsi="Arial" w:cs="Arial"/>
                        <w:sz w:val="16"/>
                        <w:szCs w:val="16"/>
                      </w:rPr>
                    </w:pPr>
                  </w:p>
                </w:txbxContent>
              </v:textbox>
            </v:roundrect>
            <v:roundrect id="_x0000_s1035" style="position:absolute;left:7871;top:3350;width:2321;height:1217" arcsize="10923f" fillcolor="#95b3d7" strokecolor="#95b3d7" strokeweight="1pt">
              <v:fill color2="#dbe5f1" angle="-45" focus="-50%" type="gradient"/>
              <v:shadow on="t" type="perspective" color="#243f60" opacity=".5" offset="1pt" offset2="-3pt"/>
              <v:textbox style="mso-next-textbox:#_x0000_s1035">
                <w:txbxContent>
                  <w:p w:rsidR="00810D5F" w:rsidRPr="00306738" w:rsidRDefault="00810D5F" w:rsidP="00810D5F">
                    <w:pPr>
                      <w:jc w:val="center"/>
                      <w:rPr>
                        <w:rFonts w:ascii="Arial" w:hAnsi="Arial" w:cs="Arial"/>
                        <w:sz w:val="16"/>
                        <w:szCs w:val="16"/>
                      </w:rPr>
                    </w:pPr>
                  </w:p>
                </w:txbxContent>
              </v:textbox>
            </v:roundrect>
            <v:shapetype id="_x0000_t32" coordsize="21600,21600" o:spt="32" o:oned="t" path="m,l21600,21600e" filled="f">
              <v:path arrowok="t" fillok="f" o:connecttype="none"/>
              <o:lock v:ext="edit" shapetype="t"/>
            </v:shapetype>
            <v:shape id="_x0000_s1036" type="#_x0000_t32" style="position:absolute;left:5748;top:2024;width:0;height:124" o:connectortype="straight"/>
            <v:shape id="_x0000_s1037" type="#_x0000_t32" style="position:absolute;left:2676;top:3143;width:6363;height:0" o:connectortype="straight"/>
            <v:shape id="_x0000_s1038" type="#_x0000_t32" style="position:absolute;left:5715;top:860;width:0;height:327" o:connectortype="straight"/>
            <v:shape id="_x0000_s1039" type="#_x0000_t32" style="position:absolute;left:3949;top:2460;width:913;height:0" o:connectortype="straight"/>
            <v:shape id="_x0000_s1040" type="#_x0000_t32" style="position:absolute;left:6644;top:2460;width:1168;height:0" o:connectortype="straight"/>
            <v:shape id="_x0000_s1041" type="#_x0000_t32" style="position:absolute;left:2676;top:3143;width:0;height:252" o:connectortype="straight"/>
            <v:shape id="_x0000_s1042" type="#_x0000_t32" style="position:absolute;left:4530;top:3143;width:0;height:252" o:connectortype="straight"/>
            <v:shape id="_x0000_s1043" type="#_x0000_t32" style="position:absolute;left:6602;top:3143;width:0;height:207" o:connectortype="straight"/>
            <v:shape id="_x0000_s1044" type="#_x0000_t32" style="position:absolute;left:9039;top:3143;width:0;height:207" o:connectortype="straight"/>
            <v:shape id="_x0000_s1045" type="#_x0000_t32" style="position:absolute;left:5748;top:2798;width:0;height:345" o:connectortype="straight"/>
          </v:group>
        </w:pict>
      </w:r>
    </w:p>
    <w:sectPr w:rsidR="00AD3026" w:rsidRPr="000133A0" w:rsidSect="00306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Mon">
    <w:panose1 w:val="02020500000000000000"/>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B5F07"/>
    <w:multiLevelType w:val="hybridMultilevel"/>
    <w:tmpl w:val="C48A7102"/>
    <w:lvl w:ilvl="0" w:tplc="B11AB20A">
      <w:start w:val="20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732"/>
    <w:rsid w:val="000133A0"/>
    <w:rsid w:val="00067109"/>
    <w:rsid w:val="000816C8"/>
    <w:rsid w:val="00096732"/>
    <w:rsid w:val="000F1083"/>
    <w:rsid w:val="001A69FD"/>
    <w:rsid w:val="002817A4"/>
    <w:rsid w:val="0030687C"/>
    <w:rsid w:val="004811B5"/>
    <w:rsid w:val="005156C7"/>
    <w:rsid w:val="005E17EB"/>
    <w:rsid w:val="00660788"/>
    <w:rsid w:val="00677270"/>
    <w:rsid w:val="006E0995"/>
    <w:rsid w:val="007D1A48"/>
    <w:rsid w:val="00810D5F"/>
    <w:rsid w:val="008E1C27"/>
    <w:rsid w:val="009E0C1E"/>
    <w:rsid w:val="00A26DC4"/>
    <w:rsid w:val="00A95124"/>
    <w:rsid w:val="00AA759C"/>
    <w:rsid w:val="00AD3026"/>
    <w:rsid w:val="00B07065"/>
    <w:rsid w:val="00B94319"/>
    <w:rsid w:val="00BB7A06"/>
    <w:rsid w:val="00C346AF"/>
    <w:rsid w:val="00F47F2D"/>
    <w:rsid w:val="00FC5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_x0000_s1040"/>
        <o:r id="V:Rule12" type="connector" idref="#_x0000_s1045"/>
        <o:r id="V:Rule13" type="connector" idref="#_x0000_s1042"/>
        <o:r id="V:Rule14" type="connector" idref="#_x0000_s1041"/>
        <o:r id="V:Rule15" type="connector" idref="#_x0000_s1044"/>
        <o:r id="V:Rule16" type="connector" idref="#_x0000_s1043"/>
        <o:r id="V:Rule17" type="connector" idref="#_x0000_s1039"/>
        <o:r id="V:Rule18" type="connector" idref="#_x0000_s1036"/>
        <o:r id="V:Rule19" type="connector" idref="#_x0000_s1037"/>
        <o:r id="V:Rule2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3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2019-04-29T02:26:00Z</cp:lastPrinted>
  <dcterms:created xsi:type="dcterms:W3CDTF">2017-05-01T05:24:00Z</dcterms:created>
  <dcterms:modified xsi:type="dcterms:W3CDTF">2019-05-27T05:00:00Z</dcterms:modified>
</cp:coreProperties>
</file>