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CC" w:rsidRPr="0037776D" w:rsidRDefault="000E3ACC" w:rsidP="000E3ACC">
      <w:pPr>
        <w:shd w:val="clear" w:color="auto" w:fill="FFFFFF"/>
        <w:spacing w:after="0" w:line="240" w:lineRule="auto"/>
        <w:rPr>
          <w:rFonts w:ascii="Times New Roman" w:hAnsi="Times New Roman"/>
          <w:b/>
          <w:lang w:val="mn-MN"/>
        </w:rPr>
      </w:pPr>
      <w:bookmarkStart w:id="0" w:name="_GoBack"/>
      <w:bookmarkEnd w:id="0"/>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асуулга</w:t>
      </w:r>
      <w:proofErr w:type="spellEnd"/>
      <w:r>
        <w:rPr>
          <w:rFonts w:ascii="Times New Roman" w:hAnsi="Times New Roman"/>
          <w:b/>
          <w:lang w:val="mn-MN"/>
        </w:rPr>
        <w:t xml:space="preserve">                                           </w:t>
      </w:r>
      <w:r>
        <w:rPr>
          <w:rFonts w:ascii="Times New Roman" w:hAnsi="Times New Roman"/>
          <w:b/>
        </w:rPr>
        <w:t xml:space="preserve">22-р </w:t>
      </w:r>
      <w:proofErr w:type="gramStart"/>
      <w:r>
        <w:rPr>
          <w:rFonts w:ascii="Times New Roman" w:hAnsi="Times New Roman"/>
          <w:b/>
          <w:lang w:val="mn-MN"/>
        </w:rPr>
        <w:t xml:space="preserve">Бааз </w:t>
      </w:r>
      <w:r>
        <w:rPr>
          <w:rFonts w:ascii="Times New Roman" w:hAnsi="Times New Roman"/>
          <w:b/>
        </w:rPr>
        <w:t xml:space="preserve"> ХК</w:t>
      </w:r>
      <w:proofErr w:type="gramEnd"/>
    </w:p>
    <w:p w:rsidR="000E3ACC" w:rsidRDefault="000E3ACC" w:rsidP="000E3ACC">
      <w:pPr>
        <w:shd w:val="clear" w:color="auto" w:fill="FFFFFF"/>
        <w:spacing w:after="0" w:line="240" w:lineRule="auto"/>
        <w:rPr>
          <w:rFonts w:ascii="Times New Roman" w:hAnsi="Times New Roman"/>
        </w:rPr>
      </w:pPr>
      <w:r>
        <w:rPr>
          <w:rFonts w:ascii="Times New Roman" w:hAnsi="Times New Roman"/>
        </w:rPr>
        <w:t xml:space="preserve">           </w:t>
      </w:r>
      <w:r>
        <w:rPr>
          <w:rFonts w:ascii="Times New Roman" w:hAnsi="Times New Roman"/>
          <w:lang w:val="mn-MN"/>
        </w:rPr>
        <w:t xml:space="preserve">                                                                                  </w:t>
      </w:r>
      <w:r>
        <w:rPr>
          <w:rFonts w:ascii="Times New Roman" w:hAnsi="Times New Roman"/>
          <w:i/>
        </w:rPr>
        <w:t xml:space="preserve"> /</w:t>
      </w:r>
      <w:proofErr w:type="spellStart"/>
      <w:r>
        <w:rPr>
          <w:rFonts w:ascii="Times New Roman" w:hAnsi="Times New Roman"/>
          <w:i/>
        </w:rPr>
        <w:t>нэр</w:t>
      </w:r>
      <w:proofErr w:type="spellEnd"/>
      <w:r>
        <w:rPr>
          <w:rFonts w:ascii="Times New Roman" w:hAnsi="Times New Roman"/>
          <w:i/>
        </w:rPr>
        <w:t>/</w:t>
      </w:r>
    </w:p>
    <w:tbl>
      <w:tblPr>
        <w:tblStyle w:val="TableGrid"/>
        <w:tblW w:w="9512" w:type="dxa"/>
        <w:tblLayout w:type="fixed"/>
        <w:tblLook w:val="04A0" w:firstRow="1" w:lastRow="0" w:firstColumn="1" w:lastColumn="0" w:noHBand="0" w:noVBand="1"/>
      </w:tblPr>
      <w:tblGrid>
        <w:gridCol w:w="508"/>
        <w:gridCol w:w="22"/>
        <w:gridCol w:w="5130"/>
        <w:gridCol w:w="1260"/>
        <w:gridCol w:w="1170"/>
        <w:gridCol w:w="720"/>
        <w:gridCol w:w="702"/>
      </w:tblGrid>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Pr>
                <w:rFonts w:ascii="Times New Roman" w:hAnsi="Times New Roman"/>
                <w:i/>
                <w:iCs/>
                <w:lang w:val="mn-MN"/>
              </w:rPr>
              <w:t xml:space="preserve"> ба</w:t>
            </w:r>
            <w:r w:rsidRPr="00D56E3F">
              <w:rPr>
                <w:rFonts w:ascii="Times New Roman" w:hAnsi="Times New Roman"/>
                <w:i/>
                <w:iCs/>
                <w:lang w:val="mn-MN"/>
              </w:rPr>
              <w:t xml:space="preserve"> кодекс</w:t>
            </w:r>
            <w:r>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Pr>
                <w:rFonts w:ascii="Times New Roman" w:hAnsi="Times New Roman"/>
                <w:i/>
                <w:iCs/>
                <w:lang w:val="mn-MN"/>
              </w:rPr>
              <w:t>тусгана.</w:t>
            </w:r>
            <w:r w:rsidRPr="00D56E3F">
              <w:rPr>
                <w:rFonts w:ascii="Times New Roman" w:hAnsi="Times New Roman"/>
                <w:i/>
                <w:iCs/>
                <w:lang w:val="mn-MN"/>
              </w:rPr>
              <w:t xml:space="preserve">. </w:t>
            </w:r>
          </w:p>
        </w:tc>
      </w:tr>
      <w:tr w:rsidR="000E3ACC" w:rsidRPr="00D56E3F" w:rsidTr="007824B5">
        <w:trPr>
          <w:trHeight w:val="808"/>
        </w:trPr>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НЭГ. Т</w:t>
            </w:r>
            <w:r>
              <w:rPr>
                <w:rFonts w:ascii="Times New Roman" w:hAnsi="Times New Roman"/>
                <w:b/>
                <w:bCs/>
                <w:lang w:val="mn-MN"/>
              </w:rPr>
              <w:t>УЗ-</w:t>
            </w:r>
            <w:r w:rsidRPr="00D56E3F">
              <w:rPr>
                <w:rFonts w:ascii="Times New Roman" w:hAnsi="Times New Roman"/>
                <w:b/>
                <w:bCs/>
                <w:lang w:val="mn-MN"/>
              </w:rPr>
              <w:t>ИЙН БҮТЭЦ, ЗОХИОН БАЙГУУЛАЛТ</w:t>
            </w:r>
          </w:p>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0E3ACC" w:rsidRPr="00C44D02" w:rsidTr="007824B5">
        <w:tc>
          <w:tcPr>
            <w:tcW w:w="530" w:type="dxa"/>
            <w:gridSpan w:val="2"/>
            <w:tcBorders>
              <w:top w:val="single" w:sz="8" w:space="0" w:color="auto"/>
              <w:left w:val="single" w:sz="8" w:space="0" w:color="auto"/>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1260" w:type="dxa"/>
            <w:tcBorders>
              <w:top w:val="nil"/>
              <w:left w:val="nil"/>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1170" w:type="dxa"/>
            <w:tcBorders>
              <w:top w:val="nil"/>
              <w:left w:val="single" w:sz="8" w:space="0" w:color="auto"/>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c>
          <w:tcPr>
            <w:tcW w:w="720" w:type="dxa"/>
            <w:tcBorders>
              <w:top w:val="nil"/>
              <w:left w:val="single" w:sz="8" w:space="0" w:color="auto"/>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Оноо</w:t>
            </w:r>
          </w:p>
        </w:tc>
        <w:tc>
          <w:tcPr>
            <w:tcW w:w="702" w:type="dxa"/>
            <w:tcBorders>
              <w:top w:val="nil"/>
              <w:left w:val="single" w:sz="8" w:space="0" w:color="auto"/>
              <w:bottom w:val="single" w:sz="8" w:space="0" w:color="auto"/>
              <w:right w:val="single" w:sz="8" w:space="0" w:color="auto"/>
            </w:tcBorders>
          </w:tcPr>
          <w:p w:rsidR="000E3ACC" w:rsidRPr="00C44D02" w:rsidRDefault="000E3ACC" w:rsidP="007824B5">
            <w:pPr>
              <w:spacing w:after="0" w:line="240" w:lineRule="auto"/>
              <w:jc w:val="center"/>
              <w:rPr>
                <w:rFonts w:ascii="Times New Roman" w:hAnsi="Times New Roman"/>
                <w:b/>
                <w:sz w:val="20"/>
                <w:lang w:val="mn-MN"/>
              </w:rPr>
            </w:pPr>
            <w:r w:rsidRPr="00C44D02">
              <w:rPr>
                <w:rFonts w:ascii="Times New Roman" w:hAnsi="Times New Roman"/>
                <w:b/>
                <w:sz w:val="20"/>
                <w:lang w:val="mn-MN"/>
              </w:rPr>
              <w:t>Хувь</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260" w:type="dxa"/>
            <w:tcBorders>
              <w:top w:val="single" w:sz="8" w:space="0" w:color="auto"/>
              <w:left w:val="single" w:sz="8" w:space="0" w:color="auto"/>
              <w:bottom w:val="single" w:sz="8" w:space="0" w:color="auto"/>
              <w:right w:val="single" w:sz="8" w:space="0" w:color="auto"/>
            </w:tcBorders>
          </w:tcPr>
          <w:p w:rsidR="000E3ACC" w:rsidRDefault="000E3ACC" w:rsidP="007824B5">
            <w:pPr>
              <w:spacing w:after="0" w:line="240" w:lineRule="auto"/>
              <w:jc w:val="center"/>
              <w:rPr>
                <w:rFonts w:ascii="Times New Roman" w:hAnsi="Times New Roman"/>
                <w:lang w:val="mn-MN"/>
              </w:rPr>
            </w:pPr>
          </w:p>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Pr>
                <w:rFonts w:ascii="Times New Roman" w:hAnsi="Times New Roman"/>
                <w:lang w:val="mn-MN"/>
              </w:rPr>
              <w:t xml:space="preserve">Цахим хуудас байхгүй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ТУЗ-ийн бүтэц тогтвортой удаа жил ажиллаж байгаа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ХОЁР. Т</w:t>
            </w:r>
            <w:r>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0E3ACC" w:rsidRPr="00D56E3F" w:rsidTr="007824B5">
        <w:trPr>
          <w:trHeight w:val="570"/>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w:t>
            </w:r>
            <w:r w:rsidRPr="00D56E3F">
              <w:rPr>
                <w:rFonts w:ascii="Times New Roman" w:hAnsi="Times New Roman"/>
                <w:b/>
                <w:bCs/>
                <w:i/>
                <w:iCs/>
                <w:lang w:val="mn-MN"/>
              </w:rPr>
              <w:lastRenderedPageBreak/>
              <w:t xml:space="preserve">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lastRenderedPageBreak/>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Үнэт цаас гаргагч </w:t>
            </w:r>
            <w:r>
              <w:rPr>
                <w:rFonts w:ascii="Times New Roman" w:hAnsi="Times New Roman"/>
                <w:lang w:val="mn-MN"/>
              </w:rPr>
              <w:lastRenderedPageBreak/>
              <w:t xml:space="preserve">компани биш түрээсийн үйл ажиллагаа явуулдаг компани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1065"/>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9</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Үгүй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Үнэт цаас гаргагч компани биш түрээсийн үйл ажиллагаа явуулдаг компани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10</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Үгүй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817"/>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lastRenderedPageBreak/>
              <w:t>Т</w:t>
            </w:r>
            <w:r>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p>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260" w:type="dxa"/>
            <w:tcBorders>
              <w:top w:val="single" w:sz="8" w:space="0" w:color="auto"/>
              <w:left w:val="single" w:sz="8" w:space="0" w:color="auto"/>
              <w:bottom w:val="single" w:sz="8" w:space="0" w:color="auto"/>
              <w:right w:val="single" w:sz="8" w:space="0" w:color="auto"/>
            </w:tcBorders>
          </w:tcPr>
          <w:p w:rsidR="000E3ACC"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p>
          <w:p w:rsidR="000E3ACC" w:rsidRDefault="000E3ACC" w:rsidP="007824B5">
            <w:pPr>
              <w:spacing w:after="0" w:line="240" w:lineRule="auto"/>
              <w:jc w:val="both"/>
              <w:rPr>
                <w:rFonts w:ascii="Times New Roman" w:hAnsi="Times New Roman"/>
                <w:lang w:val="mn-MN"/>
              </w:rPr>
            </w:pPr>
          </w:p>
          <w:p w:rsidR="000E3ACC" w:rsidRDefault="000E3ACC" w:rsidP="007824B5">
            <w:pPr>
              <w:spacing w:after="0" w:line="240" w:lineRule="auto"/>
              <w:jc w:val="both"/>
              <w:rPr>
                <w:rFonts w:ascii="Times New Roman" w:hAnsi="Times New Roman"/>
                <w:lang w:val="mn-MN"/>
              </w:rPr>
            </w:pPr>
          </w:p>
          <w:p w:rsidR="000E3ACC" w:rsidRPr="00D17E7E" w:rsidRDefault="000E3ACC" w:rsidP="007824B5">
            <w:pPr>
              <w:spacing w:after="0" w:line="240" w:lineRule="auto"/>
              <w:jc w:val="both"/>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rPr>
          <w:trHeight w:val="825"/>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Цахим хуудас байхгүй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Pr>
                <w:rFonts w:ascii="Times New Roman" w:hAnsi="Times New Roman"/>
                <w:b/>
                <w:bCs/>
                <w:i/>
                <w:iCs/>
                <w:lang w:val="mn-MN"/>
              </w:rPr>
              <w:t xml:space="preserve">эг, </w:t>
            </w:r>
            <w:r w:rsidRPr="00D56E3F">
              <w:rPr>
                <w:rFonts w:ascii="Times New Roman" w:hAnsi="Times New Roman"/>
                <w:b/>
                <w:bCs/>
                <w:i/>
                <w:iCs/>
                <w:lang w:val="mn-MN"/>
              </w:rPr>
              <w:t>тэдгээрт орсон өөрчлөлтий</w:t>
            </w:r>
            <w:r>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Pr>
                <w:rFonts w:ascii="Times New Roman" w:hAnsi="Times New Roman"/>
                <w:b/>
                <w:bCs/>
                <w:i/>
                <w:iCs/>
                <w:lang w:val="mn-MN"/>
              </w:rPr>
              <w:t xml:space="preserve">тухай </w:t>
            </w:r>
            <w:r w:rsidRPr="00D56E3F">
              <w:rPr>
                <w:rFonts w:ascii="Times New Roman" w:hAnsi="Times New Roman"/>
                <w:b/>
                <w:bCs/>
                <w:i/>
                <w:iCs/>
                <w:lang w:val="mn-MN"/>
              </w:rPr>
              <w:t>бүр мэдэ</w:t>
            </w:r>
            <w:r>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Цахим хуудас байхгүй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rPr>
          <w:trHeight w:val="178"/>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19</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122"/>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20</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23</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lang w:val="mn-MN"/>
              </w:rPr>
            </w:pPr>
          </w:p>
        </w:tc>
      </w:tr>
      <w:tr w:rsidR="000E3ACC" w:rsidRPr="00D56E3F" w:rsidTr="007824B5">
        <w:trPr>
          <w:trHeight w:val="862"/>
        </w:trPr>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30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Үгүй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Цахим хуудас байхгүй </w:t>
            </w: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570"/>
        </w:trPr>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rsidR="000E3ACC" w:rsidRPr="00D56E3F" w:rsidRDefault="000E3ACC" w:rsidP="007824B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lang w:val="mn-MN"/>
              </w:rPr>
              <w:lastRenderedPageBreak/>
              <w:t>32</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c>
          <w:tcPr>
            <w:tcW w:w="508" w:type="dxa"/>
            <w:tcBorders>
              <w:top w:val="single" w:sz="8" w:space="0" w:color="auto"/>
              <w:left w:val="single" w:sz="8" w:space="0" w:color="auto"/>
              <w:bottom w:val="single" w:sz="8" w:space="0" w:color="auto"/>
              <w:right w:val="single" w:sz="8" w:space="0" w:color="auto"/>
            </w:tcBorders>
            <w:vAlign w:val="center"/>
          </w:tcPr>
          <w:p w:rsidR="000E3ACC" w:rsidRPr="00D56E3F" w:rsidRDefault="000E3ACC" w:rsidP="007824B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rsidR="000E3ACC" w:rsidRPr="00D56E3F" w:rsidRDefault="000E3ACC" w:rsidP="007824B5">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26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21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rsidR="000E3ACC" w:rsidRPr="00D56E3F" w:rsidRDefault="000E3ACC" w:rsidP="007824B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E3ACC" w:rsidRPr="00D56E3F" w:rsidRDefault="000E3ACC" w:rsidP="007824B5">
            <w:pPr>
              <w:spacing w:after="0" w:line="240" w:lineRule="auto"/>
              <w:jc w:val="center"/>
              <w:rPr>
                <w:rFonts w:ascii="Times New Roman" w:hAnsi="Times New Roman"/>
                <w:lang w:val="mn-MN"/>
              </w:rPr>
            </w:pPr>
          </w:p>
        </w:tc>
      </w:tr>
      <w:tr w:rsidR="000E3ACC" w:rsidRPr="00D56E3F" w:rsidTr="007824B5">
        <w:trPr>
          <w:trHeight w:val="376"/>
        </w:trPr>
        <w:tc>
          <w:tcPr>
            <w:tcW w:w="8090"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rsidR="000E3ACC" w:rsidRPr="00AB7EAE" w:rsidRDefault="000E3ACC" w:rsidP="007824B5">
            <w:pPr>
              <w:spacing w:after="0" w:line="240" w:lineRule="auto"/>
              <w:jc w:val="center"/>
              <w:rPr>
                <w:rFonts w:ascii="Times New Roman" w:hAnsi="Times New Roman"/>
                <w:b/>
                <w:lang w:val="mn-MN"/>
              </w:rPr>
            </w:pPr>
            <w:r w:rsidRPr="00AB7EAE">
              <w:rPr>
                <w:rFonts w:ascii="Times New Roman" w:hAnsi="Times New Roman"/>
                <w:b/>
                <w:lang w:val="mn-MN"/>
              </w:rPr>
              <w:t>Н</w:t>
            </w:r>
            <w:r>
              <w:rPr>
                <w:rFonts w:ascii="Times New Roman" w:hAnsi="Times New Roman"/>
                <w:b/>
                <w:lang w:val="mn-MN"/>
              </w:rPr>
              <w:t>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0E3ACC" w:rsidRPr="00D56E3F" w:rsidRDefault="000E3ACC" w:rsidP="007824B5">
            <w:pPr>
              <w:spacing w:after="0" w:line="240" w:lineRule="auto"/>
              <w:jc w:val="center"/>
              <w:rPr>
                <w:rFonts w:ascii="Times New Roman" w:hAnsi="Times New Roman"/>
                <w:lang w:val="mn-MN"/>
              </w:rPr>
            </w:pPr>
          </w:p>
        </w:tc>
      </w:tr>
    </w:tbl>
    <w:p w:rsidR="000E3ACC" w:rsidRDefault="000E3ACC" w:rsidP="000E3ACC">
      <w:pPr>
        <w:spacing w:after="0" w:line="240" w:lineRule="auto"/>
        <w:jc w:val="center"/>
        <w:rPr>
          <w:rFonts w:ascii="Times New Roman" w:hAnsi="Times New Roman"/>
          <w:b/>
          <w:sz w:val="24"/>
          <w:szCs w:val="24"/>
          <w:lang w:val="mn-MN"/>
        </w:rPr>
      </w:pPr>
    </w:p>
    <w:p w:rsidR="005B3D2B" w:rsidRDefault="005B3D2B"/>
    <w:sectPr w:rsidR="005B3D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CC"/>
    <w:rsid w:val="000E3ACC"/>
    <w:rsid w:val="005B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AE1E"/>
  <w15:chartTrackingRefBased/>
  <w15:docId w15:val="{C7A78553-B5FB-4EB6-8886-3BC56C86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AC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2022-09-21T06:21:00Z</dcterms:created>
  <dcterms:modified xsi:type="dcterms:W3CDTF">2022-09-21T06:22:00Z</dcterms:modified>
</cp:coreProperties>
</file>