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F8" w:rsidRPr="009975E7" w:rsidRDefault="009915F8" w:rsidP="009915F8">
      <w:pPr>
        <w:jc w:val="center"/>
        <w:rPr>
          <w:rFonts w:eastAsia="Times New Roman"/>
          <w:b/>
          <w:sz w:val="24"/>
          <w:szCs w:val="24"/>
          <w:u w:val="single"/>
          <w:lang w:val="mn-MN" w:eastAsia="ru-RU"/>
        </w:rPr>
      </w:pPr>
      <w:bookmarkStart w:id="0" w:name="_Toc446319074"/>
      <w:r w:rsidRPr="009975E7">
        <w:rPr>
          <w:rFonts w:eastAsia="Times New Roman"/>
          <w:b/>
          <w:sz w:val="24"/>
          <w:szCs w:val="24"/>
          <w:u w:val="single"/>
          <w:lang w:val="mn-MN" w:eastAsia="ru-RU"/>
        </w:rPr>
        <w:t xml:space="preserve">БАГАНУУР ХК-ИЙН </w:t>
      </w:r>
      <w:r w:rsidRPr="00C43088">
        <w:rPr>
          <w:rFonts w:eastAsia="Times New Roman"/>
          <w:b/>
          <w:sz w:val="24"/>
          <w:szCs w:val="24"/>
          <w:u w:val="single"/>
          <w:lang w:val="mn-MN" w:eastAsia="ru-RU"/>
        </w:rPr>
        <w:t xml:space="preserve">2015 ОНЫ </w:t>
      </w:r>
      <w:r w:rsidRPr="009975E7">
        <w:rPr>
          <w:rFonts w:eastAsia="Times New Roman"/>
          <w:b/>
          <w:sz w:val="24"/>
          <w:szCs w:val="24"/>
          <w:u w:val="single"/>
          <w:lang w:val="mn-MN" w:eastAsia="ru-RU"/>
        </w:rPr>
        <w:t xml:space="preserve">ҮЙЛ АЖИЛЛАГААНЫ </w:t>
      </w:r>
    </w:p>
    <w:p w:rsidR="009915F8" w:rsidRPr="009975E7" w:rsidRDefault="009915F8" w:rsidP="009915F8">
      <w:pPr>
        <w:jc w:val="center"/>
        <w:rPr>
          <w:rFonts w:eastAsia="Times New Roman"/>
          <w:b/>
          <w:sz w:val="24"/>
          <w:szCs w:val="24"/>
          <w:u w:val="single"/>
          <w:lang w:val="mn-MN" w:eastAsia="ru-RU"/>
        </w:rPr>
      </w:pPr>
      <w:r>
        <w:rPr>
          <w:rFonts w:eastAsia="Times New Roman"/>
          <w:b/>
          <w:sz w:val="24"/>
          <w:szCs w:val="24"/>
          <w:u w:val="single"/>
          <w:lang w:val="mn-MN" w:eastAsia="ru-RU"/>
        </w:rPr>
        <w:t>ТАЙЛАН,</w:t>
      </w:r>
      <w:r w:rsidRPr="009975E7">
        <w:rPr>
          <w:rFonts w:eastAsia="Times New Roman"/>
          <w:b/>
          <w:sz w:val="24"/>
          <w:szCs w:val="24"/>
          <w:u w:val="single"/>
          <w:lang w:val="mn-MN" w:eastAsia="ru-RU"/>
        </w:rPr>
        <w:t xml:space="preserve"> </w:t>
      </w:r>
      <w:r w:rsidRPr="00C43088">
        <w:rPr>
          <w:b/>
          <w:sz w:val="24"/>
          <w:szCs w:val="24"/>
          <w:u w:val="single"/>
          <w:lang w:val="mn-MN" w:eastAsia="ja-JP"/>
        </w:rPr>
        <w:t xml:space="preserve">ТӨЛӨӨЛӨН УДИРДАХ ЗӨВЛӨЛИЙН </w:t>
      </w:r>
      <w:r w:rsidRPr="009975E7">
        <w:rPr>
          <w:rFonts w:eastAsia="Times New Roman"/>
          <w:b/>
          <w:sz w:val="24"/>
          <w:szCs w:val="24"/>
          <w:u w:val="single"/>
          <w:lang w:val="mn-MN" w:eastAsia="ru-RU"/>
        </w:rPr>
        <w:t>ДҮГНЭЛТ</w:t>
      </w:r>
    </w:p>
    <w:bookmarkEnd w:id="0"/>
    <w:p w:rsidR="009915F8" w:rsidRDefault="009915F8" w:rsidP="009915F8">
      <w:pPr>
        <w:jc w:val="right"/>
        <w:rPr>
          <w:rFonts w:ascii="Times New Roman" w:eastAsia="Times New Roman" w:hAnsi="Times New Roman" w:cs="Times New Roman"/>
          <w:b/>
          <w:i/>
          <w:lang w:val="mn-MN" w:eastAsia="ru-RU"/>
        </w:rPr>
      </w:pPr>
    </w:p>
    <w:p w:rsidR="009915F8" w:rsidRPr="009975E7" w:rsidRDefault="009915F8" w:rsidP="009915F8">
      <w:pPr>
        <w:jc w:val="right"/>
        <w:rPr>
          <w:rFonts w:ascii="Times New Roman" w:eastAsia="Times New Roman" w:hAnsi="Times New Roman" w:cs="Times New Roman"/>
          <w:b/>
          <w:i/>
          <w:lang w:val="mn-MN" w:eastAsia="ru-RU"/>
        </w:rPr>
      </w:pPr>
      <w:r w:rsidRPr="009975E7">
        <w:rPr>
          <w:rFonts w:ascii="Times New Roman" w:eastAsia="Times New Roman" w:hAnsi="Times New Roman" w:cs="Times New Roman"/>
          <w:b/>
          <w:i/>
          <w:lang w:val="mn-MN" w:eastAsia="ru-RU"/>
        </w:rPr>
        <w:t>2016-03-28</w:t>
      </w:r>
    </w:p>
    <w:p w:rsidR="009915F8" w:rsidRDefault="009915F8" w:rsidP="009915F8">
      <w:pPr>
        <w:numPr>
          <w:ilvl w:val="0"/>
          <w:numId w:val="2"/>
        </w:numPr>
        <w:spacing w:before="100"/>
        <w:jc w:val="both"/>
        <w:outlineLvl w:val="1"/>
        <w:rPr>
          <w:b/>
          <w:caps/>
          <w:color w:val="002060"/>
          <w:spacing w:val="15"/>
          <w:sz w:val="24"/>
          <w:szCs w:val="24"/>
          <w:lang w:val="mn-MN"/>
        </w:rPr>
      </w:pPr>
      <w:bookmarkStart w:id="1" w:name="_Toc446319075"/>
      <w:r>
        <w:rPr>
          <w:b/>
          <w:caps/>
          <w:color w:val="002060"/>
          <w:spacing w:val="15"/>
          <w:sz w:val="24"/>
          <w:szCs w:val="24"/>
          <w:lang w:val="mn-MN"/>
        </w:rPr>
        <w:t xml:space="preserve">үндсэн үйлдвэрлэл, </w:t>
      </w:r>
      <w:r w:rsidRPr="009975E7">
        <w:rPr>
          <w:b/>
          <w:caps/>
          <w:color w:val="002060"/>
          <w:spacing w:val="15"/>
          <w:sz w:val="24"/>
          <w:szCs w:val="24"/>
          <w:lang w:val="mn-MN"/>
        </w:rPr>
        <w:t xml:space="preserve">Уулын ажлын </w:t>
      </w:r>
      <w:bookmarkEnd w:id="1"/>
      <w:r>
        <w:rPr>
          <w:b/>
          <w:caps/>
          <w:color w:val="002060"/>
          <w:spacing w:val="15"/>
          <w:sz w:val="24"/>
          <w:szCs w:val="24"/>
          <w:lang w:val="mn-MN"/>
        </w:rPr>
        <w:t>тАЛААР</w:t>
      </w:r>
    </w:p>
    <w:p w:rsidR="009915F8" w:rsidRPr="009975E7" w:rsidRDefault="009915F8" w:rsidP="009915F8">
      <w:pPr>
        <w:spacing w:before="100"/>
        <w:ind w:left="1080"/>
        <w:jc w:val="both"/>
        <w:outlineLvl w:val="1"/>
        <w:rPr>
          <w:b/>
          <w:caps/>
          <w:color w:val="002060"/>
          <w:spacing w:val="15"/>
          <w:sz w:val="24"/>
          <w:szCs w:val="24"/>
          <w:lang w:val="mn-MN"/>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201</w:t>
      </w:r>
      <w:r w:rsidRPr="009975E7">
        <w:rPr>
          <w:rFonts w:eastAsia="Times New Roman"/>
          <w:sz w:val="24"/>
          <w:szCs w:val="24"/>
          <w:lang w:eastAsia="ru-RU"/>
        </w:rPr>
        <w:t>5</w:t>
      </w:r>
      <w:r w:rsidRPr="009975E7">
        <w:rPr>
          <w:rFonts w:eastAsia="Times New Roman"/>
          <w:sz w:val="24"/>
          <w:szCs w:val="24"/>
          <w:lang w:val="mn-MN" w:eastAsia="ru-RU"/>
        </w:rPr>
        <w:t xml:space="preserve"> онд 3</w:t>
      </w:r>
      <w:r w:rsidRPr="009975E7">
        <w:rPr>
          <w:rFonts w:eastAsia="Times New Roman"/>
          <w:sz w:val="24"/>
          <w:szCs w:val="24"/>
          <w:lang w:eastAsia="ru-RU"/>
        </w:rPr>
        <w:t>867</w:t>
      </w:r>
      <w:r w:rsidRPr="009975E7">
        <w:rPr>
          <w:rFonts w:eastAsia="Times New Roman"/>
          <w:sz w:val="24"/>
          <w:szCs w:val="24"/>
          <w:lang w:val="mn-MN" w:eastAsia="ru-RU"/>
        </w:rPr>
        <w:t>.</w:t>
      </w:r>
      <w:r w:rsidRPr="009975E7">
        <w:rPr>
          <w:rFonts w:eastAsia="Times New Roman"/>
          <w:sz w:val="24"/>
          <w:szCs w:val="24"/>
          <w:lang w:eastAsia="ru-RU"/>
        </w:rPr>
        <w:t>5</w:t>
      </w:r>
      <w:r w:rsidRPr="009975E7">
        <w:rPr>
          <w:rFonts w:eastAsia="Times New Roman"/>
          <w:sz w:val="24"/>
          <w:szCs w:val="24"/>
          <w:lang w:val="mn-MN" w:eastAsia="ru-RU"/>
        </w:rPr>
        <w:t xml:space="preserve"> мян.тн нүүрс гарган борлуулан 19,330.0 мян.м3 хөрс хуулан 30,125.0 мян.м3 уулын цулын ажил хийхээр төлөвлөснөөс гүйцэтгэлээр 3,731.2 мян.тн нүүрс олборлон 96 хувь, 3,747.0 мян.тн нүүрс борлуулан 97 хувь, 19,135.7 мян.м3 хөрс хуулан 99 хувь, 30,855.6 мян.м3 уулын цулын ажил хийж 102 хувийн гүйцэтгэлтэй ажилласан. </w:t>
      </w:r>
    </w:p>
    <w:p w:rsidR="009915F8" w:rsidRPr="009975E7" w:rsidRDefault="009915F8" w:rsidP="009915F8">
      <w:pPr>
        <w:jc w:val="both"/>
        <w:rPr>
          <w:rFonts w:eastAsia="Times New Roman"/>
          <w:sz w:val="24"/>
          <w:szCs w:val="24"/>
          <w:lang w:val="mn-MN" w:eastAsia="ru-RU"/>
        </w:rPr>
      </w:pPr>
    </w:p>
    <w:tbl>
      <w:tblPr>
        <w:tblW w:w="9103" w:type="dxa"/>
        <w:jc w:val="center"/>
        <w:tblLayout w:type="fixed"/>
        <w:tblLook w:val="04A0" w:firstRow="1" w:lastRow="0" w:firstColumn="1" w:lastColumn="0" w:noHBand="0" w:noVBand="1"/>
      </w:tblPr>
      <w:tblGrid>
        <w:gridCol w:w="2871"/>
        <w:gridCol w:w="1021"/>
        <w:gridCol w:w="1635"/>
        <w:gridCol w:w="1523"/>
        <w:gridCol w:w="1030"/>
        <w:gridCol w:w="1023"/>
      </w:tblGrid>
      <w:tr w:rsidR="009915F8" w:rsidRPr="009975E7" w:rsidTr="00F55998">
        <w:trPr>
          <w:trHeight w:val="300"/>
          <w:jc w:val="center"/>
        </w:trPr>
        <w:tc>
          <w:tcPr>
            <w:tcW w:w="2871" w:type="dxa"/>
            <w:vMerge w:val="restart"/>
            <w:tcBorders>
              <w:top w:val="single" w:sz="8" w:space="0" w:color="auto"/>
              <w:left w:val="single" w:sz="8" w:space="0" w:color="auto"/>
              <w:bottom w:val="single" w:sz="8" w:space="0" w:color="000000"/>
              <w:right w:val="single" w:sz="8" w:space="0" w:color="auto"/>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proofErr w:type="spellStart"/>
            <w:r w:rsidRPr="009975E7">
              <w:rPr>
                <w:rFonts w:eastAsia="Times New Roman"/>
                <w:color w:val="FFFFFF"/>
                <w:sz w:val="24"/>
                <w:szCs w:val="24"/>
              </w:rPr>
              <w:t>Үзүүлэлт</w:t>
            </w:r>
            <w:proofErr w:type="spellEnd"/>
            <w:r w:rsidRPr="009975E7">
              <w:rPr>
                <w:rFonts w:eastAsia="Times New Roman"/>
                <w:color w:val="FFFFFF"/>
                <w:sz w:val="24"/>
                <w:szCs w:val="24"/>
              </w:rPr>
              <w:t xml:space="preserve">  </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proofErr w:type="spellStart"/>
            <w:r w:rsidRPr="009975E7">
              <w:rPr>
                <w:rFonts w:eastAsia="Times New Roman"/>
                <w:color w:val="FFFFFF"/>
                <w:sz w:val="24"/>
                <w:szCs w:val="24"/>
              </w:rPr>
              <w:t>Хэмжих</w:t>
            </w:r>
            <w:proofErr w:type="spellEnd"/>
            <w:r w:rsidRPr="009975E7">
              <w:rPr>
                <w:rFonts w:eastAsia="Times New Roman"/>
                <w:color w:val="FFFFFF"/>
                <w:sz w:val="24"/>
                <w:szCs w:val="24"/>
              </w:rPr>
              <w:t xml:space="preserve"> </w:t>
            </w:r>
            <w:proofErr w:type="spellStart"/>
            <w:r w:rsidRPr="009975E7">
              <w:rPr>
                <w:rFonts w:eastAsia="Times New Roman"/>
                <w:color w:val="FFFFFF"/>
                <w:sz w:val="24"/>
                <w:szCs w:val="24"/>
              </w:rPr>
              <w:t>нэгж</w:t>
            </w:r>
            <w:proofErr w:type="spellEnd"/>
            <w:r w:rsidRPr="009975E7">
              <w:rPr>
                <w:rFonts w:eastAsia="Times New Roman"/>
                <w:color w:val="FFFFFF"/>
                <w:sz w:val="24"/>
                <w:szCs w:val="24"/>
              </w:rPr>
              <w:t xml:space="preserve"> </w:t>
            </w:r>
          </w:p>
        </w:tc>
        <w:tc>
          <w:tcPr>
            <w:tcW w:w="5211" w:type="dxa"/>
            <w:gridSpan w:val="4"/>
            <w:tcBorders>
              <w:top w:val="single" w:sz="8" w:space="0" w:color="auto"/>
              <w:left w:val="nil"/>
              <w:bottom w:val="single" w:sz="8" w:space="0" w:color="auto"/>
              <w:right w:val="single" w:sz="8" w:space="0" w:color="000000"/>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r w:rsidRPr="009975E7">
              <w:rPr>
                <w:rFonts w:eastAsia="Times New Roman"/>
                <w:color w:val="FFFFFF"/>
                <w:sz w:val="24"/>
                <w:szCs w:val="24"/>
              </w:rPr>
              <w:t xml:space="preserve">2015 </w:t>
            </w:r>
            <w:proofErr w:type="spellStart"/>
            <w:r w:rsidRPr="009975E7">
              <w:rPr>
                <w:rFonts w:eastAsia="Times New Roman"/>
                <w:color w:val="FFFFFF"/>
                <w:sz w:val="24"/>
                <w:szCs w:val="24"/>
              </w:rPr>
              <w:t>он</w:t>
            </w:r>
            <w:proofErr w:type="spellEnd"/>
          </w:p>
        </w:tc>
      </w:tr>
      <w:tr w:rsidR="009915F8" w:rsidRPr="009975E7" w:rsidTr="00F55998">
        <w:trPr>
          <w:trHeight w:val="300"/>
          <w:jc w:val="center"/>
        </w:trPr>
        <w:tc>
          <w:tcPr>
            <w:tcW w:w="2871" w:type="dxa"/>
            <w:vMerge/>
            <w:tcBorders>
              <w:top w:val="single" w:sz="8" w:space="0" w:color="auto"/>
              <w:left w:val="single" w:sz="8" w:space="0" w:color="auto"/>
              <w:bottom w:val="single" w:sz="8" w:space="0" w:color="000000"/>
              <w:right w:val="single" w:sz="8" w:space="0" w:color="auto"/>
            </w:tcBorders>
            <w:shd w:val="clear" w:color="auto" w:fill="000000" w:themeFill="text1"/>
            <w:vAlign w:val="center"/>
            <w:hideMark/>
          </w:tcPr>
          <w:p w:rsidR="009915F8" w:rsidRPr="009975E7" w:rsidRDefault="009915F8" w:rsidP="00F55998">
            <w:pPr>
              <w:jc w:val="both"/>
              <w:rPr>
                <w:rFonts w:eastAsia="Times New Roman"/>
                <w:color w:val="FFFFFF"/>
                <w:sz w:val="24"/>
                <w:szCs w:val="24"/>
              </w:rPr>
            </w:pPr>
          </w:p>
        </w:tc>
        <w:tc>
          <w:tcPr>
            <w:tcW w:w="1021" w:type="dxa"/>
            <w:vMerge/>
            <w:tcBorders>
              <w:top w:val="single" w:sz="8" w:space="0" w:color="auto"/>
              <w:left w:val="single" w:sz="8" w:space="0" w:color="auto"/>
              <w:bottom w:val="single" w:sz="8" w:space="0" w:color="000000"/>
              <w:right w:val="single" w:sz="8" w:space="0" w:color="auto"/>
            </w:tcBorders>
            <w:shd w:val="clear" w:color="auto" w:fill="000000" w:themeFill="text1"/>
            <w:vAlign w:val="center"/>
            <w:hideMark/>
          </w:tcPr>
          <w:p w:rsidR="009915F8" w:rsidRPr="009975E7" w:rsidRDefault="009915F8" w:rsidP="00F55998">
            <w:pPr>
              <w:jc w:val="both"/>
              <w:rPr>
                <w:rFonts w:eastAsia="Times New Roman"/>
                <w:color w:val="FFFFFF"/>
                <w:sz w:val="24"/>
                <w:szCs w:val="24"/>
              </w:rPr>
            </w:pPr>
          </w:p>
        </w:tc>
        <w:tc>
          <w:tcPr>
            <w:tcW w:w="1635" w:type="dxa"/>
            <w:tcBorders>
              <w:top w:val="nil"/>
              <w:left w:val="nil"/>
              <w:bottom w:val="single" w:sz="8" w:space="0" w:color="auto"/>
              <w:right w:val="single" w:sz="8" w:space="0" w:color="auto"/>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proofErr w:type="spellStart"/>
            <w:r w:rsidRPr="009975E7">
              <w:rPr>
                <w:rFonts w:eastAsia="Times New Roman"/>
                <w:color w:val="FFFFFF"/>
                <w:sz w:val="24"/>
                <w:szCs w:val="24"/>
              </w:rPr>
              <w:t>Төлөвлөгөө</w:t>
            </w:r>
            <w:proofErr w:type="spellEnd"/>
            <w:r w:rsidRPr="009975E7">
              <w:rPr>
                <w:rFonts w:eastAsia="Times New Roman"/>
                <w:color w:val="FFFFFF"/>
                <w:sz w:val="24"/>
                <w:szCs w:val="24"/>
              </w:rPr>
              <w:t xml:space="preserve"> </w:t>
            </w:r>
          </w:p>
        </w:tc>
        <w:tc>
          <w:tcPr>
            <w:tcW w:w="1523" w:type="dxa"/>
            <w:tcBorders>
              <w:top w:val="nil"/>
              <w:left w:val="nil"/>
              <w:bottom w:val="single" w:sz="8" w:space="0" w:color="auto"/>
              <w:right w:val="single" w:sz="8" w:space="0" w:color="auto"/>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proofErr w:type="spellStart"/>
            <w:r w:rsidRPr="009975E7">
              <w:rPr>
                <w:rFonts w:eastAsia="Times New Roman"/>
                <w:color w:val="FFFFFF"/>
                <w:sz w:val="24"/>
                <w:szCs w:val="24"/>
              </w:rPr>
              <w:t>Гүйцэтгэл</w:t>
            </w:r>
            <w:proofErr w:type="spellEnd"/>
            <w:r w:rsidRPr="009975E7">
              <w:rPr>
                <w:rFonts w:eastAsia="Times New Roman"/>
                <w:color w:val="FFFFFF"/>
                <w:sz w:val="24"/>
                <w:szCs w:val="24"/>
              </w:rPr>
              <w:t xml:space="preserve"> </w:t>
            </w:r>
          </w:p>
        </w:tc>
        <w:tc>
          <w:tcPr>
            <w:tcW w:w="1030" w:type="dxa"/>
            <w:tcBorders>
              <w:top w:val="nil"/>
              <w:left w:val="nil"/>
              <w:bottom w:val="single" w:sz="8" w:space="0" w:color="auto"/>
              <w:right w:val="single" w:sz="8" w:space="0" w:color="auto"/>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proofErr w:type="spellStart"/>
            <w:r w:rsidRPr="009975E7">
              <w:rPr>
                <w:rFonts w:eastAsia="Times New Roman"/>
                <w:color w:val="FFFFFF"/>
                <w:sz w:val="24"/>
                <w:szCs w:val="24"/>
              </w:rPr>
              <w:t>Хувь</w:t>
            </w:r>
            <w:proofErr w:type="spellEnd"/>
            <w:r w:rsidRPr="009975E7">
              <w:rPr>
                <w:rFonts w:eastAsia="Times New Roman"/>
                <w:color w:val="FFFFFF"/>
                <w:sz w:val="24"/>
                <w:szCs w:val="24"/>
              </w:rPr>
              <w:t xml:space="preserve"> </w:t>
            </w:r>
          </w:p>
        </w:tc>
        <w:tc>
          <w:tcPr>
            <w:tcW w:w="1021" w:type="dxa"/>
            <w:tcBorders>
              <w:top w:val="nil"/>
              <w:left w:val="nil"/>
              <w:bottom w:val="single" w:sz="8" w:space="0" w:color="auto"/>
              <w:right w:val="single" w:sz="8" w:space="0" w:color="auto"/>
            </w:tcBorders>
            <w:shd w:val="clear" w:color="auto" w:fill="000000" w:themeFill="text1"/>
            <w:vAlign w:val="center"/>
            <w:hideMark/>
          </w:tcPr>
          <w:p w:rsidR="009915F8" w:rsidRPr="009975E7" w:rsidRDefault="009915F8" w:rsidP="00F55998">
            <w:pPr>
              <w:jc w:val="center"/>
              <w:rPr>
                <w:rFonts w:eastAsia="Times New Roman"/>
                <w:color w:val="FFFFFF"/>
                <w:sz w:val="24"/>
                <w:szCs w:val="24"/>
              </w:rPr>
            </w:pPr>
            <w:proofErr w:type="spellStart"/>
            <w:r w:rsidRPr="009975E7">
              <w:rPr>
                <w:rFonts w:eastAsia="Times New Roman"/>
                <w:color w:val="FFFFFF"/>
                <w:sz w:val="24"/>
                <w:szCs w:val="24"/>
              </w:rPr>
              <w:t>Зөрүү</w:t>
            </w:r>
            <w:proofErr w:type="spellEnd"/>
            <w:r w:rsidRPr="009975E7">
              <w:rPr>
                <w:rFonts w:eastAsia="Times New Roman"/>
                <w:color w:val="FFFFFF"/>
                <w:sz w:val="24"/>
                <w:szCs w:val="24"/>
              </w:rPr>
              <w:t xml:space="preserve"> </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lang w:val="mn-MN"/>
              </w:rPr>
            </w:pPr>
            <w:proofErr w:type="spellStart"/>
            <w:r w:rsidRPr="009975E7">
              <w:rPr>
                <w:rFonts w:eastAsia="Times New Roman"/>
                <w:color w:val="000000"/>
                <w:sz w:val="24"/>
                <w:szCs w:val="24"/>
              </w:rPr>
              <w:t>Хөрс</w:t>
            </w:r>
            <w:proofErr w:type="spellEnd"/>
            <w:r w:rsidRPr="009975E7">
              <w:rPr>
                <w:rFonts w:eastAsia="Times New Roman"/>
                <w:color w:val="000000"/>
                <w:sz w:val="24"/>
                <w:szCs w:val="24"/>
                <w:lang w:val="mn-MN"/>
              </w:rPr>
              <w:t xml:space="preserve"> хуулалт</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мян.м3</w:t>
            </w:r>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19</w:t>
            </w:r>
            <w:r w:rsidRPr="009975E7">
              <w:rPr>
                <w:rFonts w:eastAsia="Times New Roman"/>
                <w:bCs/>
                <w:color w:val="0000FF"/>
                <w:sz w:val="24"/>
                <w:szCs w:val="24"/>
                <w:lang w:val="mn-MN"/>
              </w:rPr>
              <w:t>,</w:t>
            </w:r>
            <w:r w:rsidRPr="009975E7">
              <w:rPr>
                <w:rFonts w:eastAsia="Times New Roman"/>
                <w:bCs/>
                <w:color w:val="0000FF"/>
                <w:sz w:val="24"/>
                <w:szCs w:val="24"/>
              </w:rPr>
              <w:t>330</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19</w:t>
            </w:r>
            <w:r w:rsidRPr="009975E7">
              <w:rPr>
                <w:rFonts w:eastAsia="Times New Roman"/>
                <w:bCs/>
                <w:color w:val="0000FF"/>
                <w:sz w:val="24"/>
                <w:szCs w:val="24"/>
                <w:lang w:val="mn-MN"/>
              </w:rPr>
              <w:t>,</w:t>
            </w:r>
            <w:r w:rsidRPr="009975E7">
              <w:rPr>
                <w:rFonts w:eastAsia="Times New Roman"/>
                <w:bCs/>
                <w:color w:val="0000FF"/>
                <w:sz w:val="24"/>
                <w:szCs w:val="24"/>
              </w:rPr>
              <w:t>135.7</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FF0000"/>
                <w:sz w:val="24"/>
                <w:szCs w:val="24"/>
              </w:rPr>
            </w:pPr>
            <w:r w:rsidRPr="009975E7">
              <w:rPr>
                <w:rFonts w:eastAsia="Times New Roman"/>
                <w:bCs/>
                <w:color w:val="FF0000"/>
                <w:sz w:val="24"/>
                <w:szCs w:val="24"/>
              </w:rPr>
              <w:t>99%</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-194</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lang w:val="mn-MN"/>
              </w:rPr>
            </w:pPr>
            <w:r w:rsidRPr="009975E7">
              <w:rPr>
                <w:rFonts w:eastAsia="Times New Roman"/>
                <w:color w:val="000000"/>
                <w:sz w:val="24"/>
                <w:szCs w:val="24"/>
                <w:lang w:val="mn-MN"/>
              </w:rPr>
              <w:t xml:space="preserve"> -</w:t>
            </w:r>
            <w:proofErr w:type="spellStart"/>
            <w:r w:rsidRPr="009975E7">
              <w:rPr>
                <w:rFonts w:eastAsia="Times New Roman"/>
                <w:color w:val="000000"/>
                <w:sz w:val="24"/>
                <w:szCs w:val="24"/>
              </w:rPr>
              <w:t>Тээвэргүй</w:t>
            </w:r>
            <w:proofErr w:type="spellEnd"/>
            <w:r w:rsidRPr="009975E7">
              <w:rPr>
                <w:rFonts w:eastAsia="Times New Roman"/>
                <w:color w:val="000000"/>
                <w:sz w:val="24"/>
                <w:szCs w:val="24"/>
                <w:lang w:val="mn-MN"/>
              </w:rPr>
              <w:t xml:space="preserve"> хөрс хуулалт</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мян.м3</w:t>
            </w:r>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6</w:t>
            </w:r>
            <w:r w:rsidRPr="009975E7">
              <w:rPr>
                <w:rFonts w:eastAsia="Times New Roman"/>
                <w:bCs/>
                <w:color w:val="0000FF"/>
                <w:sz w:val="24"/>
                <w:szCs w:val="24"/>
                <w:lang w:val="mn-MN"/>
              </w:rPr>
              <w:t>,</w:t>
            </w:r>
            <w:r w:rsidRPr="009975E7">
              <w:rPr>
                <w:rFonts w:eastAsia="Times New Roman"/>
                <w:bCs/>
                <w:color w:val="0000FF"/>
                <w:sz w:val="24"/>
                <w:szCs w:val="24"/>
              </w:rPr>
              <w:t>450</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6</w:t>
            </w:r>
            <w:r w:rsidRPr="009975E7">
              <w:rPr>
                <w:rFonts w:eastAsia="Times New Roman"/>
                <w:bCs/>
                <w:color w:val="0000FF"/>
                <w:sz w:val="24"/>
                <w:szCs w:val="24"/>
                <w:lang w:val="mn-MN"/>
              </w:rPr>
              <w:t>,</w:t>
            </w:r>
            <w:r w:rsidRPr="009975E7">
              <w:rPr>
                <w:rFonts w:eastAsia="Times New Roman"/>
                <w:bCs/>
                <w:color w:val="0000FF"/>
                <w:sz w:val="24"/>
                <w:szCs w:val="24"/>
              </w:rPr>
              <w:t>538.6</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101%</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88.6</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lang w:val="mn-MN"/>
              </w:rPr>
            </w:pPr>
            <w:r w:rsidRPr="009975E7">
              <w:rPr>
                <w:rFonts w:eastAsia="Times New Roman"/>
                <w:color w:val="000000"/>
                <w:sz w:val="24"/>
                <w:szCs w:val="24"/>
                <w:lang w:val="mn-MN"/>
              </w:rPr>
              <w:t xml:space="preserve"> -</w:t>
            </w:r>
            <w:proofErr w:type="spellStart"/>
            <w:r w:rsidRPr="009975E7">
              <w:rPr>
                <w:rFonts w:eastAsia="Times New Roman"/>
                <w:color w:val="000000"/>
                <w:sz w:val="24"/>
                <w:szCs w:val="24"/>
              </w:rPr>
              <w:t>Тээвэртэй</w:t>
            </w:r>
            <w:proofErr w:type="spellEnd"/>
            <w:r w:rsidRPr="009975E7">
              <w:rPr>
                <w:rFonts w:eastAsia="Times New Roman"/>
                <w:color w:val="000000"/>
                <w:sz w:val="24"/>
                <w:szCs w:val="24"/>
                <w:lang w:val="mn-MN"/>
              </w:rPr>
              <w:t xml:space="preserve"> хөрс хуулалт</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мян.м3</w:t>
            </w:r>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12</w:t>
            </w:r>
            <w:r w:rsidRPr="009975E7">
              <w:rPr>
                <w:rFonts w:eastAsia="Times New Roman"/>
                <w:bCs/>
                <w:color w:val="0000FF"/>
                <w:sz w:val="24"/>
                <w:szCs w:val="24"/>
                <w:lang w:val="mn-MN"/>
              </w:rPr>
              <w:t>,</w:t>
            </w:r>
            <w:r w:rsidRPr="009975E7">
              <w:rPr>
                <w:rFonts w:eastAsia="Times New Roman"/>
                <w:bCs/>
                <w:color w:val="0000FF"/>
                <w:sz w:val="24"/>
                <w:szCs w:val="24"/>
              </w:rPr>
              <w:t>755</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12</w:t>
            </w:r>
            <w:r w:rsidRPr="009975E7">
              <w:rPr>
                <w:rFonts w:eastAsia="Times New Roman"/>
                <w:bCs/>
                <w:color w:val="0000FF"/>
                <w:sz w:val="24"/>
                <w:szCs w:val="24"/>
                <w:lang w:val="mn-MN"/>
              </w:rPr>
              <w:t>,</w:t>
            </w:r>
            <w:r w:rsidRPr="009975E7">
              <w:rPr>
                <w:rFonts w:eastAsia="Times New Roman"/>
                <w:bCs/>
                <w:color w:val="0000FF"/>
                <w:sz w:val="24"/>
                <w:szCs w:val="24"/>
              </w:rPr>
              <w:t>406.5</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FF0000"/>
                <w:sz w:val="24"/>
                <w:szCs w:val="24"/>
              </w:rPr>
            </w:pPr>
            <w:r w:rsidRPr="009975E7">
              <w:rPr>
                <w:rFonts w:eastAsia="Times New Roman"/>
                <w:bCs/>
                <w:color w:val="FF0000"/>
                <w:sz w:val="24"/>
                <w:szCs w:val="24"/>
              </w:rPr>
              <w:t>97%</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-349</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rPr>
            </w:pPr>
            <w:proofErr w:type="spellStart"/>
            <w:r w:rsidRPr="009975E7">
              <w:rPr>
                <w:rFonts w:eastAsia="Times New Roman"/>
                <w:color w:val="000000"/>
                <w:sz w:val="24"/>
                <w:szCs w:val="24"/>
              </w:rPr>
              <w:t>Нүүрс</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олборлолт</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proofErr w:type="spellStart"/>
            <w:r w:rsidRPr="009975E7">
              <w:rPr>
                <w:rFonts w:eastAsia="Times New Roman"/>
                <w:color w:val="000000"/>
                <w:sz w:val="24"/>
                <w:szCs w:val="24"/>
              </w:rPr>
              <w:t>мян.тн</w:t>
            </w:r>
            <w:proofErr w:type="spellEnd"/>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w:t>
            </w:r>
            <w:r w:rsidRPr="009975E7">
              <w:rPr>
                <w:rFonts w:eastAsia="Times New Roman"/>
                <w:bCs/>
                <w:color w:val="0000FF"/>
                <w:sz w:val="24"/>
                <w:szCs w:val="24"/>
                <w:lang w:val="mn-MN"/>
              </w:rPr>
              <w:t>,</w:t>
            </w:r>
            <w:r w:rsidRPr="009975E7">
              <w:rPr>
                <w:rFonts w:eastAsia="Times New Roman"/>
                <w:bCs/>
                <w:color w:val="0000FF"/>
                <w:sz w:val="24"/>
                <w:szCs w:val="24"/>
              </w:rPr>
              <w:t>867.5</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w:t>
            </w:r>
            <w:r w:rsidRPr="009975E7">
              <w:rPr>
                <w:rFonts w:eastAsia="Times New Roman"/>
                <w:bCs/>
                <w:color w:val="0000FF"/>
                <w:sz w:val="24"/>
                <w:szCs w:val="24"/>
                <w:lang w:val="mn-MN"/>
              </w:rPr>
              <w:t>,</w:t>
            </w:r>
            <w:r w:rsidRPr="009975E7">
              <w:rPr>
                <w:rFonts w:eastAsia="Times New Roman"/>
                <w:bCs/>
                <w:color w:val="0000FF"/>
                <w:sz w:val="24"/>
                <w:szCs w:val="24"/>
              </w:rPr>
              <w:t>731.2</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FF0000"/>
                <w:sz w:val="24"/>
                <w:szCs w:val="24"/>
              </w:rPr>
            </w:pPr>
            <w:r w:rsidRPr="009975E7">
              <w:rPr>
                <w:rFonts w:eastAsia="Times New Roman"/>
                <w:bCs/>
                <w:color w:val="FF0000"/>
                <w:sz w:val="24"/>
                <w:szCs w:val="24"/>
              </w:rPr>
              <w:t>96%</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-136</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rPr>
            </w:pPr>
            <w:proofErr w:type="spellStart"/>
            <w:r w:rsidRPr="009975E7">
              <w:rPr>
                <w:rFonts w:eastAsia="Times New Roman"/>
                <w:color w:val="000000"/>
                <w:sz w:val="24"/>
                <w:szCs w:val="24"/>
              </w:rPr>
              <w:t>Нүүрс</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борлуулалт</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proofErr w:type="spellStart"/>
            <w:r w:rsidRPr="009975E7">
              <w:rPr>
                <w:rFonts w:eastAsia="Times New Roman"/>
                <w:color w:val="000000"/>
                <w:sz w:val="24"/>
                <w:szCs w:val="24"/>
              </w:rPr>
              <w:t>мян.тн</w:t>
            </w:r>
            <w:proofErr w:type="spellEnd"/>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w:t>
            </w:r>
            <w:r w:rsidRPr="009975E7">
              <w:rPr>
                <w:rFonts w:eastAsia="Times New Roman"/>
                <w:bCs/>
                <w:color w:val="0000FF"/>
                <w:sz w:val="24"/>
                <w:szCs w:val="24"/>
                <w:lang w:val="mn-MN"/>
              </w:rPr>
              <w:t>,</w:t>
            </w:r>
            <w:r w:rsidRPr="009975E7">
              <w:rPr>
                <w:rFonts w:eastAsia="Times New Roman"/>
                <w:bCs/>
                <w:color w:val="0000FF"/>
                <w:sz w:val="24"/>
                <w:szCs w:val="24"/>
              </w:rPr>
              <w:t>867.5</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w:t>
            </w:r>
            <w:r w:rsidRPr="009975E7">
              <w:rPr>
                <w:rFonts w:eastAsia="Times New Roman"/>
                <w:bCs/>
                <w:color w:val="0000FF"/>
                <w:sz w:val="24"/>
                <w:szCs w:val="24"/>
                <w:lang w:val="mn-MN"/>
              </w:rPr>
              <w:t>,</w:t>
            </w:r>
            <w:r w:rsidRPr="009975E7">
              <w:rPr>
                <w:rFonts w:eastAsia="Times New Roman"/>
                <w:bCs/>
                <w:color w:val="0000FF"/>
                <w:sz w:val="24"/>
                <w:szCs w:val="24"/>
              </w:rPr>
              <w:t>747</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FF0000"/>
                <w:sz w:val="24"/>
                <w:szCs w:val="24"/>
              </w:rPr>
            </w:pPr>
            <w:r w:rsidRPr="009975E7">
              <w:rPr>
                <w:rFonts w:eastAsia="Times New Roman"/>
                <w:bCs/>
                <w:color w:val="FF0000"/>
                <w:sz w:val="24"/>
                <w:szCs w:val="24"/>
              </w:rPr>
              <w:t>97%</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-121</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rPr>
            </w:pPr>
            <w:proofErr w:type="spellStart"/>
            <w:r w:rsidRPr="009975E7">
              <w:rPr>
                <w:rFonts w:eastAsia="Times New Roman"/>
                <w:color w:val="000000"/>
                <w:sz w:val="24"/>
                <w:szCs w:val="24"/>
              </w:rPr>
              <w:t>Хөрс</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шидэлт</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мян.м3</w:t>
            </w:r>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4</w:t>
            </w:r>
            <w:r w:rsidRPr="009975E7">
              <w:rPr>
                <w:rFonts w:eastAsia="Times New Roman"/>
                <w:bCs/>
                <w:color w:val="0000FF"/>
                <w:sz w:val="24"/>
                <w:szCs w:val="24"/>
                <w:lang w:val="mn-MN"/>
              </w:rPr>
              <w:t>,</w:t>
            </w:r>
            <w:r w:rsidRPr="009975E7">
              <w:rPr>
                <w:rFonts w:eastAsia="Times New Roman"/>
                <w:bCs/>
                <w:color w:val="0000FF"/>
                <w:sz w:val="24"/>
                <w:szCs w:val="24"/>
              </w:rPr>
              <w:t>140</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4</w:t>
            </w:r>
            <w:r w:rsidRPr="009975E7">
              <w:rPr>
                <w:rFonts w:eastAsia="Times New Roman"/>
                <w:bCs/>
                <w:color w:val="0000FF"/>
                <w:sz w:val="24"/>
                <w:szCs w:val="24"/>
                <w:lang w:val="mn-MN"/>
              </w:rPr>
              <w:t>,</w:t>
            </w:r>
            <w:r w:rsidRPr="009975E7">
              <w:rPr>
                <w:rFonts w:eastAsia="Times New Roman"/>
                <w:bCs/>
                <w:color w:val="0000FF"/>
                <w:sz w:val="24"/>
                <w:szCs w:val="24"/>
              </w:rPr>
              <w:t>951.4</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120%</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811.4</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rPr>
            </w:pPr>
            <w:proofErr w:type="spellStart"/>
            <w:r w:rsidRPr="009975E7">
              <w:rPr>
                <w:rFonts w:eastAsia="Times New Roman"/>
                <w:color w:val="000000"/>
                <w:sz w:val="24"/>
                <w:szCs w:val="24"/>
              </w:rPr>
              <w:t>Инженерийн</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ажил</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мян.м3</w:t>
            </w:r>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705</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892.4</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127%</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187.4</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rPr>
            </w:pPr>
            <w:proofErr w:type="spellStart"/>
            <w:r w:rsidRPr="009975E7">
              <w:rPr>
                <w:rFonts w:eastAsia="Times New Roman"/>
                <w:color w:val="000000"/>
                <w:sz w:val="24"/>
                <w:szCs w:val="24"/>
              </w:rPr>
              <w:t>Хөрс</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хуулалтын</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коэф</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м3/</w:t>
            </w:r>
            <w:proofErr w:type="spellStart"/>
            <w:r w:rsidRPr="009975E7">
              <w:rPr>
                <w:rFonts w:eastAsia="Times New Roman"/>
                <w:color w:val="000000"/>
                <w:sz w:val="24"/>
                <w:szCs w:val="24"/>
              </w:rPr>
              <w:t>тн</w:t>
            </w:r>
            <w:proofErr w:type="spellEnd"/>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5.00</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5.13</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103%</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0.13</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lang w:val="mn-MN"/>
              </w:rPr>
            </w:pPr>
            <w:proofErr w:type="spellStart"/>
            <w:r w:rsidRPr="009975E7">
              <w:rPr>
                <w:rFonts w:eastAsia="Times New Roman"/>
                <w:color w:val="000000"/>
                <w:sz w:val="24"/>
                <w:szCs w:val="24"/>
              </w:rPr>
              <w:t>Нүүрсний</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шилжих</w:t>
            </w:r>
            <w:proofErr w:type="spellEnd"/>
            <w:r w:rsidRPr="009975E7">
              <w:rPr>
                <w:rFonts w:eastAsia="Times New Roman"/>
                <w:color w:val="000000"/>
                <w:sz w:val="24"/>
                <w:szCs w:val="24"/>
              </w:rPr>
              <w:t xml:space="preserve"> </w:t>
            </w:r>
            <w:proofErr w:type="spellStart"/>
            <w:r w:rsidRPr="009975E7">
              <w:rPr>
                <w:rFonts w:eastAsia="Times New Roman"/>
                <w:color w:val="000000"/>
                <w:sz w:val="24"/>
                <w:szCs w:val="24"/>
              </w:rPr>
              <w:t>нөөц</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proofErr w:type="spellStart"/>
            <w:r w:rsidRPr="009975E7">
              <w:rPr>
                <w:rFonts w:eastAsia="Times New Roman"/>
                <w:color w:val="000000"/>
                <w:sz w:val="24"/>
                <w:szCs w:val="24"/>
              </w:rPr>
              <w:t>мян.тн</w:t>
            </w:r>
            <w:proofErr w:type="spellEnd"/>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300</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243.4</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FF0000"/>
                <w:sz w:val="24"/>
                <w:szCs w:val="24"/>
              </w:rPr>
            </w:pPr>
            <w:r w:rsidRPr="009975E7">
              <w:rPr>
                <w:rFonts w:eastAsia="Times New Roman"/>
                <w:bCs/>
                <w:color w:val="FF0000"/>
                <w:sz w:val="24"/>
                <w:szCs w:val="24"/>
              </w:rPr>
              <w:t>81%</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-56.6</w:t>
            </w:r>
          </w:p>
        </w:tc>
      </w:tr>
      <w:tr w:rsidR="009915F8" w:rsidRPr="009975E7" w:rsidTr="00F55998">
        <w:trPr>
          <w:trHeight w:val="300"/>
          <w:jc w:val="center"/>
        </w:trPr>
        <w:tc>
          <w:tcPr>
            <w:tcW w:w="2871" w:type="dxa"/>
            <w:tcBorders>
              <w:top w:val="nil"/>
              <w:left w:val="single" w:sz="8" w:space="0" w:color="auto"/>
              <w:bottom w:val="single" w:sz="8" w:space="0" w:color="auto"/>
              <w:right w:val="single" w:sz="8" w:space="0" w:color="auto"/>
            </w:tcBorders>
            <w:shd w:val="clear" w:color="auto" w:fill="auto"/>
            <w:vAlign w:val="center"/>
            <w:hideMark/>
          </w:tcPr>
          <w:p w:rsidR="009915F8" w:rsidRPr="009975E7" w:rsidRDefault="009915F8" w:rsidP="00F55998">
            <w:pPr>
              <w:jc w:val="both"/>
              <w:rPr>
                <w:rFonts w:eastAsia="Times New Roman"/>
                <w:color w:val="000000"/>
                <w:sz w:val="24"/>
                <w:szCs w:val="24"/>
              </w:rPr>
            </w:pPr>
            <w:r w:rsidRPr="009975E7">
              <w:rPr>
                <w:rFonts w:eastAsia="Times New Roman"/>
                <w:color w:val="000000"/>
                <w:sz w:val="24"/>
                <w:szCs w:val="24"/>
              </w:rPr>
              <w:t>УУЛЫН ЦУЛ</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color w:val="000000"/>
                <w:sz w:val="24"/>
                <w:szCs w:val="24"/>
              </w:rPr>
            </w:pPr>
            <w:r w:rsidRPr="009975E7">
              <w:rPr>
                <w:rFonts w:eastAsia="Times New Roman"/>
                <w:color w:val="000000"/>
                <w:sz w:val="24"/>
                <w:szCs w:val="24"/>
              </w:rPr>
              <w:t>мян.м3</w:t>
            </w:r>
          </w:p>
        </w:tc>
        <w:tc>
          <w:tcPr>
            <w:tcW w:w="1635"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30</w:t>
            </w:r>
            <w:r w:rsidRPr="009975E7">
              <w:rPr>
                <w:rFonts w:eastAsia="Times New Roman"/>
                <w:bCs/>
                <w:color w:val="0000FF"/>
                <w:sz w:val="24"/>
                <w:szCs w:val="24"/>
                <w:lang w:val="mn-MN"/>
              </w:rPr>
              <w:t>,</w:t>
            </w:r>
            <w:r w:rsidRPr="009975E7">
              <w:rPr>
                <w:rFonts w:eastAsia="Times New Roman"/>
                <w:bCs/>
                <w:color w:val="0000FF"/>
                <w:sz w:val="24"/>
                <w:szCs w:val="24"/>
              </w:rPr>
              <w:t>125</w:t>
            </w:r>
          </w:p>
        </w:tc>
        <w:tc>
          <w:tcPr>
            <w:tcW w:w="1523"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00FF"/>
                <w:sz w:val="24"/>
                <w:szCs w:val="24"/>
              </w:rPr>
            </w:pPr>
            <w:r w:rsidRPr="009975E7">
              <w:rPr>
                <w:rFonts w:eastAsia="Times New Roman"/>
                <w:bCs/>
                <w:color w:val="0000FF"/>
                <w:sz w:val="24"/>
                <w:szCs w:val="24"/>
              </w:rPr>
              <w:t>30</w:t>
            </w:r>
            <w:r w:rsidRPr="009975E7">
              <w:rPr>
                <w:rFonts w:eastAsia="Times New Roman"/>
                <w:bCs/>
                <w:color w:val="0000FF"/>
                <w:sz w:val="24"/>
                <w:szCs w:val="24"/>
                <w:lang w:val="mn-MN"/>
              </w:rPr>
              <w:t>,</w:t>
            </w:r>
            <w:r w:rsidRPr="009975E7">
              <w:rPr>
                <w:rFonts w:eastAsia="Times New Roman"/>
                <w:bCs/>
                <w:color w:val="0000FF"/>
                <w:sz w:val="24"/>
                <w:szCs w:val="24"/>
              </w:rPr>
              <w:t>855.6</w:t>
            </w:r>
          </w:p>
        </w:tc>
        <w:tc>
          <w:tcPr>
            <w:tcW w:w="1030"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102%</w:t>
            </w:r>
          </w:p>
        </w:tc>
        <w:tc>
          <w:tcPr>
            <w:tcW w:w="1021" w:type="dxa"/>
            <w:tcBorders>
              <w:top w:val="nil"/>
              <w:left w:val="nil"/>
              <w:bottom w:val="single" w:sz="8" w:space="0" w:color="auto"/>
              <w:right w:val="single" w:sz="8" w:space="0" w:color="auto"/>
            </w:tcBorders>
            <w:shd w:val="clear" w:color="auto" w:fill="auto"/>
            <w:vAlign w:val="center"/>
            <w:hideMark/>
          </w:tcPr>
          <w:p w:rsidR="009915F8" w:rsidRPr="009975E7" w:rsidRDefault="009915F8" w:rsidP="00F55998">
            <w:pPr>
              <w:jc w:val="center"/>
              <w:rPr>
                <w:rFonts w:eastAsia="Times New Roman"/>
                <w:bCs/>
                <w:color w:val="00B050"/>
                <w:sz w:val="24"/>
                <w:szCs w:val="24"/>
              </w:rPr>
            </w:pPr>
            <w:r w:rsidRPr="009975E7">
              <w:rPr>
                <w:rFonts w:eastAsia="Times New Roman"/>
                <w:bCs/>
                <w:color w:val="00B050"/>
                <w:sz w:val="24"/>
                <w:szCs w:val="24"/>
              </w:rPr>
              <w:t>730.6</w:t>
            </w:r>
          </w:p>
        </w:tc>
      </w:tr>
    </w:tbl>
    <w:p w:rsidR="009915F8" w:rsidRDefault="009915F8" w:rsidP="009915F8">
      <w:pPr>
        <w:pStyle w:val="ListParagraph"/>
        <w:spacing w:before="100"/>
        <w:ind w:left="1080"/>
        <w:jc w:val="both"/>
        <w:outlineLvl w:val="1"/>
        <w:rPr>
          <w:b/>
          <w:caps/>
          <w:color w:val="002060"/>
          <w:spacing w:val="15"/>
          <w:lang w:val="mn-MN"/>
        </w:rPr>
      </w:pPr>
      <w:bookmarkStart w:id="2" w:name="_Toc446319076"/>
    </w:p>
    <w:p w:rsidR="009915F8" w:rsidRPr="00AA65C2" w:rsidRDefault="009915F8" w:rsidP="009915F8">
      <w:pPr>
        <w:pStyle w:val="ListParagraph"/>
        <w:numPr>
          <w:ilvl w:val="0"/>
          <w:numId w:val="2"/>
        </w:numPr>
        <w:spacing w:before="100"/>
        <w:jc w:val="both"/>
        <w:outlineLvl w:val="1"/>
        <w:rPr>
          <w:b/>
          <w:caps/>
          <w:color w:val="002060"/>
          <w:spacing w:val="15"/>
          <w:lang w:val="mn-MN"/>
        </w:rPr>
      </w:pPr>
      <w:r w:rsidRPr="00AA65C2">
        <w:rPr>
          <w:b/>
          <w:caps/>
          <w:color w:val="002060"/>
          <w:spacing w:val="15"/>
          <w:lang w:val="mn-MN"/>
        </w:rPr>
        <w:t>Нүүрс гаргалт</w:t>
      </w:r>
      <w:bookmarkEnd w:id="2"/>
      <w:r w:rsidRPr="00AA65C2">
        <w:rPr>
          <w:b/>
          <w:caps/>
          <w:color w:val="002060"/>
          <w:spacing w:val="15"/>
          <w:lang w:val="mn-MN"/>
        </w:rPr>
        <w:t>, БОРЛУУЛАЛТ</w:t>
      </w:r>
    </w:p>
    <w:p w:rsidR="009915F8" w:rsidRPr="00AA65C2" w:rsidRDefault="009915F8" w:rsidP="009915F8">
      <w:pPr>
        <w:pStyle w:val="ListParagraph"/>
        <w:spacing w:before="100"/>
        <w:ind w:left="1080"/>
        <w:jc w:val="both"/>
        <w:outlineLvl w:val="1"/>
        <w:rPr>
          <w:b/>
          <w:caps/>
          <w:color w:val="002060"/>
          <w:spacing w:val="15"/>
          <w:lang w:val="mn-MN"/>
        </w:rPr>
      </w:pPr>
    </w:p>
    <w:p w:rsidR="009915F8" w:rsidRDefault="009915F8" w:rsidP="009915F8">
      <w:pPr>
        <w:ind w:firstLine="720"/>
        <w:jc w:val="both"/>
        <w:rPr>
          <w:rFonts w:eastAsia="Times New Roman"/>
          <w:noProof/>
          <w:sz w:val="24"/>
          <w:szCs w:val="24"/>
          <w:lang w:val="mn-MN"/>
        </w:rPr>
      </w:pPr>
      <w:r w:rsidRPr="009975E7">
        <w:rPr>
          <w:rFonts w:eastAsia="Times New Roman"/>
          <w:noProof/>
          <w:sz w:val="24"/>
          <w:szCs w:val="24"/>
          <w:lang w:val="mn-MN"/>
        </w:rPr>
        <w:t>Нүүрс олборлолтын төлөвлөгөөний гүйцэтгэл 9</w:t>
      </w:r>
      <w:r w:rsidRPr="009975E7">
        <w:rPr>
          <w:rFonts w:eastAsia="Times New Roman"/>
          <w:noProof/>
          <w:sz w:val="24"/>
          <w:szCs w:val="24"/>
        </w:rPr>
        <w:t>6</w:t>
      </w:r>
      <w:r w:rsidRPr="009975E7">
        <w:rPr>
          <w:rFonts w:eastAsia="Times New Roman"/>
          <w:noProof/>
          <w:sz w:val="24"/>
          <w:szCs w:val="24"/>
          <w:lang w:val="mn-MN"/>
        </w:rPr>
        <w:t xml:space="preserve">%-тай биелэсэн. Энэ нь </w:t>
      </w:r>
      <w:r w:rsidRPr="009975E7">
        <w:rPr>
          <w:rFonts w:eastAsia="Times New Roman"/>
          <w:sz w:val="24"/>
          <w:szCs w:val="24"/>
          <w:lang w:val="mn-MN" w:eastAsia="ru-RU"/>
        </w:rPr>
        <w:t xml:space="preserve">2,3,4-р ДЦС-д  захиалгаа </w:t>
      </w:r>
      <w:r w:rsidRPr="009975E7">
        <w:rPr>
          <w:rFonts w:eastAsia="Times New Roman"/>
          <w:sz w:val="24"/>
          <w:szCs w:val="24"/>
          <w:lang w:eastAsia="ru-RU"/>
        </w:rPr>
        <w:t>15</w:t>
      </w:r>
      <w:r w:rsidRPr="009975E7">
        <w:rPr>
          <w:rFonts w:eastAsia="Times New Roman"/>
          <w:sz w:val="24"/>
          <w:szCs w:val="24"/>
          <w:lang w:val="mn-MN" w:eastAsia="ru-RU"/>
        </w:rPr>
        <w:t xml:space="preserve">0.0 мян.тн-р бууруулж авсанаас шалтгаалан </w:t>
      </w:r>
      <w:r w:rsidRPr="009975E7">
        <w:rPr>
          <w:rFonts w:eastAsia="Times New Roman"/>
          <w:noProof/>
          <w:sz w:val="24"/>
          <w:szCs w:val="24"/>
          <w:lang w:val="mn-MN"/>
        </w:rPr>
        <w:t>тасарсан.</w:t>
      </w:r>
      <w:r w:rsidRPr="009975E7">
        <w:rPr>
          <w:rFonts w:eastAsia="Times New Roman"/>
          <w:noProof/>
          <w:sz w:val="24"/>
          <w:szCs w:val="24"/>
        </w:rPr>
        <w:t xml:space="preserve"> </w:t>
      </w:r>
      <w:r w:rsidRPr="009975E7">
        <w:rPr>
          <w:rFonts w:eastAsia="Times New Roman"/>
          <w:noProof/>
          <w:sz w:val="24"/>
          <w:szCs w:val="24"/>
          <w:lang w:val="mn-MN"/>
        </w:rPr>
        <w:t xml:space="preserve">Нүүрс тээврийн автосамосвалууд 29,795 цаг буюу нийт ажиллах ёстой цагийн 59%-д нь эвдрэл саатал, сэлбэг материалийн хангамжаас шалтгаалж зогссон. Өвлийн их ачааллын үед ээлжинд тогтмол </w:t>
      </w:r>
      <w:r w:rsidRPr="009975E7">
        <w:rPr>
          <w:rFonts w:eastAsia="Times New Roman"/>
          <w:noProof/>
          <w:sz w:val="24"/>
          <w:szCs w:val="24"/>
        </w:rPr>
        <w:t>12</w:t>
      </w:r>
      <w:r w:rsidRPr="009975E7">
        <w:rPr>
          <w:rFonts w:eastAsia="Times New Roman"/>
          <w:noProof/>
          <w:sz w:val="24"/>
          <w:szCs w:val="24"/>
          <w:lang w:val="mn-MN"/>
        </w:rPr>
        <w:t xml:space="preserve">ш автосамосвал явуулахаар төлөвлөж байсан боловч гүйцэтгэлээр 4-5 автосамосвал ажилласан. </w:t>
      </w:r>
    </w:p>
    <w:p w:rsidR="009915F8" w:rsidRPr="009975E7" w:rsidRDefault="009915F8" w:rsidP="009915F8">
      <w:pPr>
        <w:ind w:firstLine="720"/>
        <w:jc w:val="both"/>
        <w:rPr>
          <w:rFonts w:eastAsia="Times New Roman"/>
          <w:noProof/>
          <w:sz w:val="24"/>
          <w:szCs w:val="24"/>
          <w:lang w:val="mn-MN"/>
        </w:rPr>
      </w:pPr>
    </w:p>
    <w:p w:rsidR="009915F8" w:rsidRDefault="009915F8" w:rsidP="009915F8">
      <w:pPr>
        <w:ind w:firstLine="720"/>
        <w:jc w:val="both"/>
        <w:rPr>
          <w:rFonts w:eastAsia="Times New Roman"/>
          <w:sz w:val="24"/>
          <w:szCs w:val="24"/>
          <w:lang w:val="mn-MN" w:eastAsia="ru-RU"/>
        </w:rPr>
      </w:pPr>
      <w:r w:rsidRPr="009975E7">
        <w:rPr>
          <w:rFonts w:eastAsia="Times New Roman"/>
          <w:noProof/>
          <w:sz w:val="24"/>
          <w:szCs w:val="24"/>
          <w:lang w:val="mn-MN"/>
        </w:rPr>
        <w:t xml:space="preserve">Нүүрс тээврийн автосамосвалууд эвдрэл гэмтэл, сул зогсолт ихтэй байснаас шалтгаалж хөрс тээврийн автосамосвалаар  </w:t>
      </w:r>
      <w:r w:rsidRPr="009975E7">
        <w:rPr>
          <w:rFonts w:eastAsia="Times New Roman"/>
          <w:noProof/>
          <w:sz w:val="24"/>
          <w:szCs w:val="24"/>
        </w:rPr>
        <w:t>6</w:t>
      </w:r>
      <w:r w:rsidRPr="009975E7">
        <w:rPr>
          <w:rFonts w:eastAsia="Times New Roman"/>
          <w:noProof/>
          <w:sz w:val="24"/>
          <w:szCs w:val="24"/>
          <w:lang w:val="mn-MN"/>
        </w:rPr>
        <w:t xml:space="preserve">67.8 мян.тн буюу нийт нүүрс гаргалтын </w:t>
      </w:r>
      <w:r w:rsidRPr="009975E7">
        <w:rPr>
          <w:rFonts w:eastAsia="Times New Roman"/>
          <w:noProof/>
          <w:sz w:val="24"/>
          <w:szCs w:val="24"/>
        </w:rPr>
        <w:t>17%-</w:t>
      </w:r>
      <w:r w:rsidRPr="009975E7">
        <w:rPr>
          <w:rFonts w:eastAsia="Times New Roman"/>
          <w:noProof/>
          <w:sz w:val="24"/>
          <w:szCs w:val="24"/>
          <w:lang w:val="mn-MN"/>
        </w:rPr>
        <w:t>г тээвэрлэсэн ба 1,2,3-р сар болон 12-р сард гэрээт автосаосвалаар 148.0 мян.тн нүүрс тээвэрлэж хөрс тээврийн автосамосвалаар тээвэрлэх нүүрсийг 1</w:t>
      </w:r>
      <w:r w:rsidRPr="009975E7">
        <w:rPr>
          <w:rFonts w:eastAsia="Times New Roman"/>
          <w:noProof/>
          <w:sz w:val="24"/>
          <w:szCs w:val="24"/>
        </w:rPr>
        <w:t>9</w:t>
      </w:r>
      <w:r w:rsidRPr="009975E7">
        <w:rPr>
          <w:rFonts w:eastAsia="Times New Roman"/>
          <w:noProof/>
          <w:sz w:val="24"/>
          <w:szCs w:val="24"/>
          <w:lang w:val="mn-MN"/>
        </w:rPr>
        <w:t>% бууруулж 164.3 сая.тн-н хэмнэлт гаргаж ажилласан.</w:t>
      </w:r>
      <w:r w:rsidRPr="009975E7">
        <w:rPr>
          <w:rFonts w:eastAsia="Times New Roman"/>
          <w:noProof/>
          <w:color w:val="FF0000"/>
          <w:sz w:val="24"/>
          <w:szCs w:val="24"/>
          <w:lang w:val="mn-MN"/>
        </w:rPr>
        <w:t xml:space="preserve"> </w:t>
      </w:r>
      <w:r w:rsidRPr="009975E7">
        <w:rPr>
          <w:rFonts w:eastAsia="Times New Roman"/>
          <w:sz w:val="24"/>
          <w:szCs w:val="24"/>
          <w:lang w:val="mn-MN" w:eastAsia="ru-RU"/>
        </w:rPr>
        <w:t>Нүүрс тээврийн авто машинууд техникийн эвдрэлээр 29795 цаг,</w:t>
      </w:r>
      <w:r w:rsidRPr="009975E7">
        <w:rPr>
          <w:rFonts w:eastAsia="Times New Roman"/>
          <w:color w:val="FF0000"/>
          <w:sz w:val="24"/>
          <w:szCs w:val="24"/>
          <w:lang w:val="mn-MN" w:eastAsia="ru-RU"/>
        </w:rPr>
        <w:t xml:space="preserve"> </w:t>
      </w:r>
      <w:r w:rsidRPr="009975E7">
        <w:rPr>
          <w:rFonts w:eastAsia="Times New Roman"/>
          <w:sz w:val="24"/>
          <w:szCs w:val="24"/>
          <w:lang w:val="mn-MN" w:eastAsia="ru-RU"/>
        </w:rPr>
        <w:t xml:space="preserve">сэлбэг материал хүлээж 19452 цаг сул зогссон байна. </w:t>
      </w:r>
    </w:p>
    <w:p w:rsidR="009915F8" w:rsidRPr="009975E7" w:rsidRDefault="009915F8" w:rsidP="009915F8">
      <w:pPr>
        <w:ind w:firstLine="720"/>
        <w:jc w:val="both"/>
        <w:rPr>
          <w:rFonts w:eastAsia="Times New Roman"/>
          <w:sz w:val="24"/>
          <w:szCs w:val="24"/>
          <w:lang w:eastAsia="ru-RU"/>
        </w:rPr>
      </w:pPr>
    </w:p>
    <w:p w:rsidR="009915F8" w:rsidRDefault="009915F8" w:rsidP="009915F8">
      <w:pPr>
        <w:ind w:firstLine="720"/>
        <w:jc w:val="both"/>
        <w:rPr>
          <w:rFonts w:eastAsia="Times New Roman"/>
          <w:sz w:val="24"/>
          <w:szCs w:val="24"/>
          <w:lang w:val="mn-MN" w:eastAsia="ru-RU"/>
        </w:rPr>
      </w:pPr>
      <w:r w:rsidRPr="009975E7">
        <w:rPr>
          <w:rFonts w:eastAsia="Times New Roman"/>
          <w:noProof/>
          <w:sz w:val="24"/>
          <w:szCs w:val="24"/>
          <w:lang w:val="mn-MN"/>
        </w:rPr>
        <w:t xml:space="preserve">Сар бүр </w:t>
      </w:r>
      <w:r w:rsidRPr="009975E7">
        <w:rPr>
          <w:rFonts w:eastAsia="Times New Roman"/>
          <w:sz w:val="24"/>
          <w:szCs w:val="24"/>
          <w:lang w:val="mn-MN" w:eastAsia="ru-RU"/>
        </w:rPr>
        <w:t>300.0 мян.тн нүүрсний шилжих нөөцтэй байхаар зорилго тавин ажилласанаас жилийн эцсийн байдлаар 350.0 мян.тн авахад бэлэн нүүрсний нөөцтэй шилжсэн.</w:t>
      </w:r>
    </w:p>
    <w:p w:rsidR="009915F8" w:rsidRPr="009975E7" w:rsidRDefault="009915F8" w:rsidP="009915F8">
      <w:pPr>
        <w:ind w:firstLine="720"/>
        <w:jc w:val="both"/>
        <w:rPr>
          <w:rFonts w:eastAsia="Times New Roman"/>
          <w:noProof/>
          <w:sz w:val="24"/>
          <w:szCs w:val="24"/>
          <w:lang w:val="mn-MN"/>
        </w:rPr>
      </w:pPr>
    </w:p>
    <w:p w:rsidR="009915F8"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Хэрэглэгчидийн захиалгад үндэслэн 2015 онд 3867.5 мян.тн нүүрс борлуулахаар төлөвлөсөн ч гол хэрэглэгчдийн сар бүрийн</w:t>
      </w:r>
      <w:r w:rsidRPr="009975E7">
        <w:rPr>
          <w:rFonts w:eastAsia="Times New Roman"/>
          <w:sz w:val="24"/>
          <w:szCs w:val="24"/>
          <w:lang w:eastAsia="ru-RU"/>
        </w:rPr>
        <w:t xml:space="preserve"> </w:t>
      </w:r>
      <w:r w:rsidRPr="009975E7">
        <w:rPr>
          <w:rFonts w:eastAsia="Times New Roman"/>
          <w:sz w:val="24"/>
          <w:szCs w:val="24"/>
          <w:lang w:val="mn-MN" w:eastAsia="ru-RU"/>
        </w:rPr>
        <w:t xml:space="preserve">захиалга </w:t>
      </w:r>
      <w:r w:rsidRPr="009975E7">
        <w:rPr>
          <w:rFonts w:eastAsia="Times New Roman"/>
          <w:sz w:val="24"/>
          <w:szCs w:val="24"/>
          <w:lang w:eastAsia="ru-RU"/>
        </w:rPr>
        <w:t>1</w:t>
      </w:r>
      <w:r w:rsidRPr="009975E7">
        <w:rPr>
          <w:rFonts w:eastAsia="Times New Roman"/>
          <w:sz w:val="24"/>
          <w:szCs w:val="24"/>
          <w:lang w:val="mn-MN" w:eastAsia="ru-RU"/>
        </w:rPr>
        <w:t>8</w:t>
      </w:r>
      <w:r w:rsidRPr="009975E7">
        <w:rPr>
          <w:rFonts w:eastAsia="Times New Roman"/>
          <w:sz w:val="24"/>
          <w:szCs w:val="24"/>
          <w:lang w:eastAsia="ru-RU"/>
        </w:rPr>
        <w:t>0</w:t>
      </w:r>
      <w:r w:rsidRPr="009975E7">
        <w:rPr>
          <w:rFonts w:eastAsia="Times New Roman"/>
          <w:sz w:val="24"/>
          <w:szCs w:val="24"/>
          <w:lang w:val="mn-MN" w:eastAsia="ru-RU"/>
        </w:rPr>
        <w:t>.0</w:t>
      </w:r>
      <w:r w:rsidRPr="009975E7">
        <w:rPr>
          <w:rFonts w:eastAsia="Times New Roman"/>
          <w:sz w:val="24"/>
          <w:szCs w:val="24"/>
          <w:lang w:eastAsia="ru-RU"/>
        </w:rPr>
        <w:t>-</w:t>
      </w:r>
      <w:r w:rsidRPr="009975E7">
        <w:rPr>
          <w:rFonts w:eastAsia="Times New Roman"/>
          <w:sz w:val="24"/>
          <w:szCs w:val="24"/>
          <w:lang w:val="mn-MN" w:eastAsia="ru-RU"/>
        </w:rPr>
        <w:t>46</w:t>
      </w:r>
      <w:r w:rsidRPr="009975E7">
        <w:rPr>
          <w:rFonts w:eastAsia="Times New Roman"/>
          <w:sz w:val="24"/>
          <w:szCs w:val="24"/>
          <w:lang w:eastAsia="ru-RU"/>
        </w:rPr>
        <w:t>0</w:t>
      </w:r>
      <w:r w:rsidRPr="009975E7">
        <w:rPr>
          <w:rFonts w:eastAsia="Times New Roman"/>
          <w:sz w:val="24"/>
          <w:szCs w:val="24"/>
          <w:lang w:val="mn-MN" w:eastAsia="ru-RU"/>
        </w:rPr>
        <w:t xml:space="preserve">.0 мян.тн-оор ирж 3,747 </w:t>
      </w:r>
      <w:r w:rsidRPr="009975E7">
        <w:rPr>
          <w:rFonts w:eastAsia="Times New Roman"/>
          <w:sz w:val="24"/>
          <w:szCs w:val="24"/>
          <w:lang w:val="mn-MN" w:eastAsia="ru-RU"/>
        </w:rPr>
        <w:lastRenderedPageBreak/>
        <w:t xml:space="preserve">мян.тн нүүрс авсан. Үүнээс томоохон хэрэглэгчид буюу ДЦС-2,3,4-уудад 3306 мян.тн нүүрс нийлүүлэхээс гүйцэтгэлээр </w:t>
      </w:r>
      <w:r w:rsidRPr="009975E7">
        <w:rPr>
          <w:rFonts w:eastAsia="Times New Roman"/>
          <w:sz w:val="24"/>
          <w:szCs w:val="24"/>
          <w:lang w:eastAsia="ru-RU"/>
        </w:rPr>
        <w:t>3</w:t>
      </w:r>
      <w:r w:rsidRPr="009975E7">
        <w:rPr>
          <w:rFonts w:eastAsia="Times New Roman"/>
          <w:sz w:val="24"/>
          <w:szCs w:val="24"/>
          <w:lang w:val="mn-MN" w:eastAsia="ru-RU"/>
        </w:rPr>
        <w:t xml:space="preserve">,126 мян.тн буюу 95%-тай,  Дархан, Амгалан, Багануурын ДС-уудад </w:t>
      </w:r>
      <w:r w:rsidRPr="009975E7">
        <w:rPr>
          <w:rFonts w:eastAsia="Times New Roman"/>
          <w:sz w:val="24"/>
          <w:szCs w:val="24"/>
          <w:lang w:eastAsia="ru-RU"/>
        </w:rPr>
        <w:t>1</w:t>
      </w:r>
      <w:r w:rsidRPr="009975E7">
        <w:rPr>
          <w:rFonts w:eastAsia="Times New Roman"/>
          <w:sz w:val="24"/>
          <w:szCs w:val="24"/>
          <w:lang w:val="mn-MN" w:eastAsia="ru-RU"/>
        </w:rPr>
        <w:t xml:space="preserve">61.8 мян.тн нүүрс нийлүүлэхээс </w:t>
      </w:r>
      <w:r w:rsidRPr="009975E7">
        <w:rPr>
          <w:rFonts w:eastAsia="Times New Roman"/>
          <w:sz w:val="24"/>
          <w:szCs w:val="24"/>
          <w:lang w:eastAsia="ru-RU"/>
        </w:rPr>
        <w:t>20</w:t>
      </w:r>
      <w:r w:rsidRPr="009975E7">
        <w:rPr>
          <w:rFonts w:eastAsia="Times New Roman"/>
          <w:sz w:val="24"/>
          <w:szCs w:val="24"/>
          <w:lang w:val="mn-MN" w:eastAsia="ru-RU"/>
        </w:rPr>
        <w:t>5</w:t>
      </w:r>
      <w:r w:rsidRPr="009975E7">
        <w:rPr>
          <w:rFonts w:eastAsia="Times New Roman"/>
          <w:sz w:val="24"/>
          <w:szCs w:val="24"/>
          <w:lang w:eastAsia="ru-RU"/>
        </w:rPr>
        <w:t>.</w:t>
      </w:r>
      <w:r w:rsidRPr="009975E7">
        <w:rPr>
          <w:rFonts w:eastAsia="Times New Roman"/>
          <w:sz w:val="24"/>
          <w:szCs w:val="24"/>
          <w:lang w:val="mn-MN" w:eastAsia="ru-RU"/>
        </w:rPr>
        <w:t xml:space="preserve">2 мян.тн нүүрс нийлүүлж </w:t>
      </w:r>
      <w:r w:rsidRPr="009975E7">
        <w:rPr>
          <w:rFonts w:eastAsia="Times New Roman"/>
          <w:sz w:val="24"/>
          <w:szCs w:val="24"/>
          <w:lang w:eastAsia="ru-RU"/>
        </w:rPr>
        <w:t>1</w:t>
      </w:r>
      <w:r w:rsidRPr="009975E7">
        <w:rPr>
          <w:rFonts w:eastAsia="Times New Roman"/>
          <w:sz w:val="24"/>
          <w:szCs w:val="24"/>
          <w:lang w:val="mn-MN" w:eastAsia="ru-RU"/>
        </w:rPr>
        <w:t>2</w:t>
      </w:r>
      <w:r w:rsidRPr="009975E7">
        <w:rPr>
          <w:rFonts w:eastAsia="Times New Roman"/>
          <w:sz w:val="24"/>
          <w:szCs w:val="24"/>
          <w:lang w:eastAsia="ru-RU"/>
        </w:rPr>
        <w:t>7</w:t>
      </w:r>
      <w:r w:rsidRPr="009975E7">
        <w:rPr>
          <w:rFonts w:eastAsia="Times New Roman"/>
          <w:sz w:val="24"/>
          <w:szCs w:val="24"/>
          <w:lang w:val="mn-MN" w:eastAsia="ru-RU"/>
        </w:rPr>
        <w:t>%-ийн гүйцэтгэлтэй ажилласан.</w:t>
      </w:r>
      <w:r w:rsidRPr="009975E7">
        <w:rPr>
          <w:rFonts w:eastAsia="Times New Roman"/>
          <w:color w:val="FF0000"/>
          <w:sz w:val="24"/>
          <w:szCs w:val="24"/>
          <w:lang w:val="mn-MN" w:eastAsia="ru-RU"/>
        </w:rPr>
        <w:t xml:space="preserve"> </w:t>
      </w:r>
      <w:r w:rsidRPr="009975E7">
        <w:rPr>
          <w:rFonts w:eastAsia="Times New Roman"/>
          <w:sz w:val="24"/>
          <w:szCs w:val="24"/>
          <w:lang w:val="mn-MN" w:eastAsia="ru-RU"/>
        </w:rPr>
        <w:t xml:space="preserve">Нүүрс олборлолт, борлуулалтын төлөвлөгөө тасарсан шалтгаан нь 2015 оны 4-р сараас 9-р сарын хооронд үндсэн хэрэглэгчид болох ДЦС-4 </w:t>
      </w:r>
      <w:r w:rsidRPr="009975E7">
        <w:rPr>
          <w:rFonts w:eastAsia="Times New Roman"/>
          <w:sz w:val="24"/>
          <w:szCs w:val="24"/>
          <w:lang w:eastAsia="ru-RU"/>
        </w:rPr>
        <w:t>85.0</w:t>
      </w:r>
      <w:r w:rsidRPr="009975E7">
        <w:rPr>
          <w:rFonts w:eastAsia="Times New Roman"/>
          <w:sz w:val="24"/>
          <w:szCs w:val="24"/>
          <w:lang w:val="mn-MN" w:eastAsia="ru-RU"/>
        </w:rPr>
        <w:t xml:space="preserve"> мян.тн, ДЦС-3 </w:t>
      </w:r>
      <w:r w:rsidRPr="009975E7">
        <w:rPr>
          <w:rFonts w:eastAsia="Times New Roman"/>
          <w:sz w:val="24"/>
          <w:szCs w:val="24"/>
          <w:lang w:eastAsia="ru-RU"/>
        </w:rPr>
        <w:t>45.0</w:t>
      </w:r>
      <w:r w:rsidRPr="009975E7">
        <w:rPr>
          <w:rFonts w:eastAsia="Times New Roman"/>
          <w:sz w:val="24"/>
          <w:szCs w:val="24"/>
          <w:lang w:val="mn-MN" w:eastAsia="ru-RU"/>
        </w:rPr>
        <w:t xml:space="preserve"> мян.тн, ДЦС-</w:t>
      </w:r>
      <w:r w:rsidRPr="009975E7">
        <w:rPr>
          <w:rFonts w:eastAsia="Times New Roman"/>
          <w:sz w:val="24"/>
          <w:szCs w:val="24"/>
          <w:lang w:eastAsia="ru-RU"/>
        </w:rPr>
        <w:t>2 10.0</w:t>
      </w:r>
      <w:r w:rsidRPr="009975E7">
        <w:rPr>
          <w:rFonts w:eastAsia="Times New Roman"/>
          <w:sz w:val="24"/>
          <w:szCs w:val="24"/>
          <w:lang w:val="mn-MN" w:eastAsia="ru-RU"/>
        </w:rPr>
        <w:t xml:space="preserve"> мян.тн Дарханы ДЦС </w:t>
      </w:r>
      <w:r w:rsidRPr="009975E7">
        <w:rPr>
          <w:rFonts w:eastAsia="Times New Roman"/>
          <w:sz w:val="24"/>
          <w:szCs w:val="24"/>
          <w:lang w:eastAsia="ru-RU"/>
        </w:rPr>
        <w:t>10.0</w:t>
      </w:r>
      <w:r w:rsidRPr="009975E7">
        <w:rPr>
          <w:rFonts w:eastAsia="Times New Roman"/>
          <w:sz w:val="24"/>
          <w:szCs w:val="24"/>
          <w:lang w:val="mn-MN" w:eastAsia="ru-RU"/>
        </w:rPr>
        <w:t xml:space="preserve"> мян.тн</w:t>
      </w:r>
      <w:r w:rsidRPr="009975E7">
        <w:rPr>
          <w:rFonts w:eastAsia="Times New Roman"/>
          <w:sz w:val="24"/>
          <w:szCs w:val="24"/>
          <w:lang w:eastAsia="ru-RU"/>
        </w:rPr>
        <w:t xml:space="preserve"> </w:t>
      </w:r>
      <w:r w:rsidRPr="009975E7">
        <w:rPr>
          <w:rFonts w:eastAsia="Times New Roman"/>
          <w:sz w:val="24"/>
          <w:szCs w:val="24"/>
          <w:lang w:val="mn-MN" w:eastAsia="ru-RU"/>
        </w:rPr>
        <w:t>тонноор тус тус гэрээгээр авах нүүрсний захиалгаа бууруулсанаас шалтгаалан</w:t>
      </w:r>
      <w:r w:rsidRPr="009975E7">
        <w:rPr>
          <w:rFonts w:eastAsia="Times New Roman"/>
          <w:sz w:val="24"/>
          <w:szCs w:val="24"/>
          <w:lang w:eastAsia="ru-RU"/>
        </w:rPr>
        <w:t xml:space="preserve"> </w:t>
      </w:r>
      <w:r w:rsidRPr="009975E7">
        <w:rPr>
          <w:rFonts w:eastAsia="Times New Roman"/>
          <w:sz w:val="24"/>
          <w:szCs w:val="24"/>
          <w:lang w:val="mn-MN" w:eastAsia="ru-RU"/>
        </w:rPr>
        <w:t>нүүрс олборлолт, борлуулалтын төлөвлөгөө 130.0 мянган тонноор тасарсан байна.</w:t>
      </w:r>
    </w:p>
    <w:p w:rsidR="009915F8" w:rsidRPr="009975E7" w:rsidRDefault="009915F8" w:rsidP="009915F8">
      <w:pPr>
        <w:ind w:firstLine="720"/>
        <w:jc w:val="both"/>
        <w:rPr>
          <w:rFonts w:eastAsia="Times New Roman"/>
          <w:sz w:val="24"/>
          <w:szCs w:val="24"/>
          <w:lang w:val="mn-MN" w:eastAsia="ru-RU"/>
        </w:rPr>
      </w:pPr>
    </w:p>
    <w:p w:rsidR="009915F8" w:rsidRPr="00AA65C2" w:rsidRDefault="009915F8" w:rsidP="009915F8">
      <w:pPr>
        <w:pStyle w:val="ListParagraph"/>
        <w:numPr>
          <w:ilvl w:val="0"/>
          <w:numId w:val="2"/>
        </w:numPr>
        <w:spacing w:before="100"/>
        <w:jc w:val="both"/>
        <w:outlineLvl w:val="1"/>
        <w:rPr>
          <w:b/>
          <w:caps/>
          <w:color w:val="002060"/>
          <w:spacing w:val="15"/>
          <w:lang w:val="mn-MN"/>
        </w:rPr>
      </w:pPr>
      <w:bookmarkStart w:id="3" w:name="_Toc446319078"/>
      <w:r w:rsidRPr="00AA65C2">
        <w:rPr>
          <w:b/>
          <w:caps/>
          <w:color w:val="002060"/>
          <w:spacing w:val="15"/>
          <w:lang w:val="mn-MN"/>
        </w:rPr>
        <w:t>Хөрс хуулалт</w:t>
      </w:r>
      <w:bookmarkEnd w:id="3"/>
    </w:p>
    <w:p w:rsidR="009915F8" w:rsidRPr="00AA65C2" w:rsidRDefault="009915F8" w:rsidP="009915F8">
      <w:pPr>
        <w:pStyle w:val="ListParagraph"/>
        <w:spacing w:before="100"/>
        <w:ind w:left="1080"/>
        <w:jc w:val="both"/>
        <w:outlineLvl w:val="1"/>
        <w:rPr>
          <w:b/>
          <w:caps/>
          <w:color w:val="002060"/>
          <w:spacing w:val="15"/>
          <w:lang w:val="mn-MN"/>
        </w:rPr>
      </w:pPr>
    </w:p>
    <w:p w:rsidR="009915F8"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 xml:space="preserve">Хөрс хуулалтын төлөвлөгөөний биелэлт 99%, авто тээвэртэй хөрс хуулалтын төлөвлөгөөний биелэлт 97%, тээвэргүй хөрс хуулалтын төлөвлөгөөний биелэлт 104%-ийн үзүүлэлттэй гарч өмнөх онтой харьцуулахад хөрс хуулалтын хэмжээ </w:t>
      </w:r>
      <w:r w:rsidRPr="009975E7">
        <w:rPr>
          <w:rFonts w:eastAsia="Times New Roman"/>
          <w:sz w:val="24"/>
          <w:szCs w:val="24"/>
          <w:lang w:eastAsia="ru-RU"/>
        </w:rPr>
        <w:t xml:space="preserve">1,866.3 </w:t>
      </w:r>
      <w:r w:rsidRPr="009975E7">
        <w:rPr>
          <w:rFonts w:eastAsia="Times New Roman"/>
          <w:sz w:val="24"/>
          <w:szCs w:val="24"/>
          <w:lang w:val="mn-MN" w:eastAsia="ru-RU"/>
        </w:rPr>
        <w:t>мян.м3 буюу 10.8 хувиар нэмэгдснээс тээвэртэй хөрс хуулалт 1,334.1 мян.м3, тээвэргүй хөрс хуулалт 577.8 мян.м3-ээр тус тус нэмэгдсэн байна.</w:t>
      </w:r>
    </w:p>
    <w:p w:rsidR="009915F8" w:rsidRDefault="009915F8" w:rsidP="009915F8">
      <w:pPr>
        <w:ind w:firstLine="720"/>
        <w:jc w:val="both"/>
        <w:rPr>
          <w:rFonts w:eastAsia="Times New Roman"/>
          <w:sz w:val="24"/>
          <w:szCs w:val="24"/>
          <w:lang w:val="mn-MN" w:eastAsia="ru-RU"/>
        </w:rPr>
      </w:pPr>
    </w:p>
    <w:p w:rsidR="009915F8" w:rsidRPr="00556795" w:rsidRDefault="009915F8" w:rsidP="009915F8">
      <w:pPr>
        <w:keepNext/>
        <w:keepLines/>
        <w:numPr>
          <w:ilvl w:val="0"/>
          <w:numId w:val="3"/>
        </w:numPr>
        <w:jc w:val="both"/>
        <w:outlineLvl w:val="0"/>
        <w:rPr>
          <w:rFonts w:eastAsiaTheme="majorEastAsia"/>
          <w:b/>
          <w:bCs/>
          <w:caps/>
          <w:color w:val="002060"/>
          <w:sz w:val="24"/>
          <w:szCs w:val="24"/>
          <w:lang w:val="mn-MN" w:eastAsia="ru-RU"/>
        </w:rPr>
      </w:pPr>
      <w:bookmarkStart w:id="4" w:name="_Toc446319087"/>
      <w:r w:rsidRPr="00556795">
        <w:rPr>
          <w:rFonts w:eastAsiaTheme="majorEastAsia"/>
          <w:b/>
          <w:bCs/>
          <w:caps/>
          <w:color w:val="002060"/>
          <w:sz w:val="24"/>
          <w:szCs w:val="24"/>
          <w:lang w:val="mn-MN" w:eastAsia="ru-RU"/>
        </w:rPr>
        <w:t>Уулын тоног төхөөрөмж</w:t>
      </w:r>
      <w:bookmarkEnd w:id="4"/>
    </w:p>
    <w:p w:rsidR="009915F8" w:rsidRDefault="009915F8" w:rsidP="009915F8">
      <w:pPr>
        <w:ind w:firstLine="360"/>
        <w:jc w:val="both"/>
        <w:rPr>
          <w:rFonts w:eastAsia="Times New Roman"/>
          <w:sz w:val="24"/>
          <w:szCs w:val="24"/>
          <w:lang w:val="mn-MN" w:eastAsia="ru-RU"/>
        </w:rPr>
      </w:pPr>
    </w:p>
    <w:p w:rsidR="009915F8" w:rsidRDefault="009915F8" w:rsidP="009915F8">
      <w:pPr>
        <w:ind w:firstLine="360"/>
        <w:jc w:val="both"/>
        <w:rPr>
          <w:rFonts w:eastAsia="Times New Roman"/>
          <w:sz w:val="24"/>
          <w:szCs w:val="24"/>
          <w:lang w:val="mn-MN" w:eastAsia="ru-RU"/>
        </w:rPr>
      </w:pPr>
      <w:r w:rsidRPr="00556795">
        <w:rPr>
          <w:rFonts w:eastAsia="Times New Roman"/>
          <w:sz w:val="24"/>
          <w:szCs w:val="24"/>
          <w:lang w:val="mn-MN" w:eastAsia="ru-RU"/>
        </w:rPr>
        <w:t xml:space="preserve">2015 онд алхагч экскаватор 6, хөрсний экскаватор 7, нүүрс гаргалтын экскаватор 6, өрмийн машин 6 ажилласан. Тайлант  онд нийт уулын тоног төхөөрөмжүүдийн ТББК  өнгөрсөн оны мөн үеээс 0.02%-р өсч 0.88%, ТАК 0.06% өсч 0.83%, уулын 21 тоног төхөөрөмжүүдэд давхардсан тоогоор 46 удаа засварын ажил  хийгдэж төлөвлөгөөт засварыг 100% хийж гүйцэтгэсэн. </w:t>
      </w:r>
    </w:p>
    <w:p w:rsidR="009915F8" w:rsidRPr="00556795" w:rsidRDefault="009915F8" w:rsidP="009915F8">
      <w:pPr>
        <w:ind w:firstLine="360"/>
        <w:jc w:val="both"/>
        <w:rPr>
          <w:rFonts w:eastAsia="Times New Roman"/>
          <w:sz w:val="24"/>
          <w:szCs w:val="24"/>
          <w:lang w:val="mn-MN" w:eastAsia="ru-RU"/>
        </w:rPr>
      </w:pPr>
    </w:p>
    <w:p w:rsidR="009915F8" w:rsidRDefault="009915F8" w:rsidP="009915F8">
      <w:pPr>
        <w:jc w:val="both"/>
        <w:rPr>
          <w:rFonts w:eastAsia="Times New Roman"/>
          <w:sz w:val="24"/>
          <w:szCs w:val="24"/>
          <w:lang w:val="mn-MN" w:eastAsia="ru-RU"/>
        </w:rPr>
      </w:pPr>
      <w:r w:rsidRPr="00556795">
        <w:rPr>
          <w:rFonts w:eastAsia="Times New Roman"/>
          <w:sz w:val="24"/>
          <w:szCs w:val="24"/>
          <w:lang w:val="mn-MN" w:eastAsia="ru-RU"/>
        </w:rPr>
        <w:t xml:space="preserve">     Өмнөх онд ажилтнуудын санаачлагаар хийгдсэн экскаваторын эргэх тавцанг сэргээн засварлах ажил үр дүнтэй нь харагдсан учир 2015 онд ЭШ-10/70 №50, №492, ЭКГ-10 №476, №33, №1941, ЭКГ-8И №2074, №2250, №1946, ЭКГ-4У №323, ЭКГ-5А №1178 зэрэг 10 экскаваторын явах ангийн болон эргэх тавцанд засварын ажлыг бүрэн хийж дуусгасан.</w:t>
      </w:r>
    </w:p>
    <w:p w:rsidR="009915F8" w:rsidRPr="00556795" w:rsidRDefault="009915F8" w:rsidP="009915F8">
      <w:pPr>
        <w:jc w:val="both"/>
        <w:rPr>
          <w:rFonts w:eastAsia="Times New Roman"/>
          <w:sz w:val="24"/>
          <w:szCs w:val="24"/>
          <w:lang w:val="mn-MN" w:eastAsia="ru-RU"/>
        </w:rPr>
      </w:pPr>
    </w:p>
    <w:p w:rsidR="009915F8" w:rsidRPr="00556795" w:rsidRDefault="009915F8" w:rsidP="009915F8">
      <w:pPr>
        <w:ind w:firstLine="360"/>
        <w:jc w:val="both"/>
        <w:rPr>
          <w:rFonts w:eastAsia="Times New Roman"/>
          <w:sz w:val="24"/>
          <w:szCs w:val="24"/>
          <w:lang w:val="mn-MN" w:eastAsia="ru-RU"/>
        </w:rPr>
      </w:pPr>
      <w:r w:rsidRPr="00556795">
        <w:rPr>
          <w:rFonts w:eastAsia="Times New Roman"/>
          <w:sz w:val="24"/>
          <w:szCs w:val="24"/>
          <w:lang w:val="mn-MN" w:eastAsia="ru-RU"/>
        </w:rPr>
        <w:t>Уулын цахилгаан тоног төхөөрөмжийн сул зогсолт 2014 онд 5,535 цаг байсан бол 2015 онд 5,754 цаг болж 0.4% өсссөн. ЭШ-15/90  экскаваторын ПЭM-174  генераторын  эвдэрлээс шалтгаалж 950 цаг сул зогссон нь гол нөлөөлсөн.</w:t>
      </w:r>
    </w:p>
    <w:p w:rsidR="009915F8" w:rsidRDefault="009915F8" w:rsidP="009915F8">
      <w:pPr>
        <w:ind w:firstLine="360"/>
        <w:jc w:val="both"/>
        <w:rPr>
          <w:rFonts w:eastAsia="Times New Roman"/>
          <w:sz w:val="24"/>
          <w:szCs w:val="24"/>
          <w:lang w:val="mn-MN" w:eastAsia="ru-RU"/>
        </w:rPr>
      </w:pPr>
    </w:p>
    <w:p w:rsidR="009915F8" w:rsidRPr="00556795" w:rsidRDefault="009915F8" w:rsidP="009915F8">
      <w:pPr>
        <w:ind w:firstLine="360"/>
        <w:jc w:val="both"/>
        <w:rPr>
          <w:rFonts w:eastAsia="Times New Roman"/>
          <w:sz w:val="24"/>
          <w:szCs w:val="24"/>
          <w:lang w:val="mn-MN" w:eastAsia="ru-RU"/>
        </w:rPr>
      </w:pPr>
      <w:r w:rsidRPr="00556795">
        <w:rPr>
          <w:rFonts w:eastAsia="Times New Roman"/>
          <w:sz w:val="24"/>
          <w:szCs w:val="24"/>
          <w:lang w:val="mn-MN" w:eastAsia="ru-RU"/>
        </w:rPr>
        <w:t>Өрмийн машинуудын техникийн бэлэн байдлын коэффициент 0.83%, техник ашиглалтын коэффициент 0.81%-тай гарч техникийн бэлэн байдлын коэффициент 8.8%, техник ашиглалтын коэффициент 9%-аар тус тус буурсан. 2015 онд  D50KS №410 өрмийн машины хөдөлгүүр эвдэрч нийт 2950 цаг, D50KS №409 өрмийн машины компрессор эвдэрч 1990 цаг тус тус зогссоноор өрмийн машинуудын цаг ашиглалтыг бууруулсан байна.</w:t>
      </w:r>
    </w:p>
    <w:p w:rsidR="009915F8" w:rsidRPr="00556795" w:rsidRDefault="009915F8" w:rsidP="009915F8">
      <w:pPr>
        <w:ind w:firstLine="414"/>
        <w:jc w:val="both"/>
        <w:rPr>
          <w:rFonts w:eastAsia="Times New Roman"/>
          <w:i/>
          <w:sz w:val="24"/>
          <w:szCs w:val="24"/>
          <w:lang w:val="mn-MN" w:eastAsia="ru-RU"/>
        </w:rPr>
      </w:pPr>
    </w:p>
    <w:p w:rsidR="009915F8" w:rsidRDefault="009915F8" w:rsidP="009915F8">
      <w:pPr>
        <w:keepNext/>
        <w:keepLines/>
        <w:numPr>
          <w:ilvl w:val="0"/>
          <w:numId w:val="3"/>
        </w:numPr>
        <w:jc w:val="both"/>
        <w:outlineLvl w:val="0"/>
        <w:rPr>
          <w:rFonts w:eastAsiaTheme="majorEastAsia"/>
          <w:b/>
          <w:bCs/>
          <w:caps/>
          <w:color w:val="002060"/>
          <w:sz w:val="24"/>
          <w:szCs w:val="24"/>
          <w:lang w:val="mn-MN" w:eastAsia="ru-RU"/>
        </w:rPr>
      </w:pPr>
      <w:bookmarkStart w:id="5" w:name="_Toc446319088"/>
      <w:r w:rsidRPr="00556795">
        <w:rPr>
          <w:rFonts w:eastAsiaTheme="majorEastAsia"/>
          <w:b/>
          <w:bCs/>
          <w:caps/>
          <w:color w:val="002060"/>
          <w:sz w:val="24"/>
          <w:szCs w:val="24"/>
          <w:lang w:val="mn-MN" w:eastAsia="ru-RU"/>
        </w:rPr>
        <w:t>Технологийн авто машин механизмууд</w:t>
      </w:r>
      <w:bookmarkEnd w:id="5"/>
    </w:p>
    <w:p w:rsidR="009915F8" w:rsidRPr="00556795" w:rsidRDefault="009915F8" w:rsidP="009915F8">
      <w:pPr>
        <w:keepNext/>
        <w:keepLines/>
        <w:ind w:left="720"/>
        <w:jc w:val="both"/>
        <w:outlineLvl w:val="0"/>
        <w:rPr>
          <w:rFonts w:eastAsiaTheme="majorEastAsia"/>
          <w:b/>
          <w:bCs/>
          <w:caps/>
          <w:color w:val="002060"/>
          <w:sz w:val="24"/>
          <w:szCs w:val="24"/>
          <w:lang w:val="mn-MN" w:eastAsia="ru-RU"/>
        </w:rPr>
      </w:pPr>
    </w:p>
    <w:p w:rsidR="009915F8" w:rsidRDefault="009915F8" w:rsidP="009915F8">
      <w:pPr>
        <w:ind w:firstLine="360"/>
        <w:jc w:val="both"/>
        <w:rPr>
          <w:rFonts w:eastAsia="Times New Roman"/>
          <w:sz w:val="24"/>
          <w:szCs w:val="24"/>
          <w:lang w:val="mn-MN" w:eastAsia="ru-RU"/>
        </w:rPr>
      </w:pPr>
      <w:r w:rsidRPr="00556795">
        <w:rPr>
          <w:rFonts w:eastAsia="Times New Roman"/>
          <w:sz w:val="24"/>
          <w:szCs w:val="24"/>
          <w:lang w:val="mn-MN" w:eastAsia="ru-RU"/>
        </w:rPr>
        <w:t xml:space="preserve">Хөрс тээвэрт САТ-777D маркийн автосамосвал 14, нүүрс тээвэрлэлтэнд HD-405 маркийн автосамосвал 5, белаз-7555 маркийн 4, </w:t>
      </w:r>
      <w:r w:rsidRPr="00556795">
        <w:rPr>
          <w:rFonts w:eastAsia="Times New Roman"/>
          <w:sz w:val="24"/>
          <w:szCs w:val="24"/>
          <w:lang w:val="ru-RU" w:eastAsia="ru-RU"/>
        </w:rPr>
        <w:t>Yutong</w:t>
      </w:r>
      <w:r w:rsidRPr="00556795">
        <w:rPr>
          <w:rFonts w:eastAsia="Times New Roman"/>
          <w:sz w:val="24"/>
          <w:szCs w:val="24"/>
          <w:lang w:val="mn-MN" w:eastAsia="ru-RU"/>
        </w:rPr>
        <w:t xml:space="preserve"> маркийн</w:t>
      </w:r>
      <w:r w:rsidRPr="00556795">
        <w:rPr>
          <w:rFonts w:eastAsia="Times New Roman"/>
          <w:sz w:val="24"/>
          <w:szCs w:val="24"/>
          <w:lang w:val="ru-RU" w:eastAsia="ru-RU"/>
        </w:rPr>
        <w:t>-1</w:t>
      </w:r>
      <w:r w:rsidRPr="00556795">
        <w:rPr>
          <w:rFonts w:eastAsia="Times New Roman"/>
          <w:sz w:val="24"/>
          <w:szCs w:val="24"/>
          <w:lang w:val="mn-MN" w:eastAsia="ru-RU"/>
        </w:rPr>
        <w:t xml:space="preserve">, </w:t>
      </w:r>
      <w:r w:rsidRPr="00556795">
        <w:rPr>
          <w:rFonts w:eastAsia="Times New Roman"/>
          <w:sz w:val="24"/>
          <w:szCs w:val="24"/>
          <w:lang w:eastAsia="ru-RU"/>
        </w:rPr>
        <w:t xml:space="preserve">Hitachi-2 </w:t>
      </w:r>
      <w:r w:rsidRPr="00556795">
        <w:rPr>
          <w:rFonts w:eastAsia="Times New Roman"/>
          <w:sz w:val="24"/>
          <w:szCs w:val="24"/>
          <w:lang w:val="mn-MN" w:eastAsia="ru-RU"/>
        </w:rPr>
        <w:t>уулын ажилд D-375A маркийн бульдозер</w:t>
      </w:r>
      <w:r w:rsidRPr="00556795">
        <w:rPr>
          <w:rFonts w:eastAsia="Times New Roman"/>
          <w:sz w:val="24"/>
          <w:szCs w:val="24"/>
          <w:lang w:eastAsia="ru-RU"/>
        </w:rPr>
        <w:t>-3</w:t>
      </w:r>
      <w:r w:rsidRPr="00556795">
        <w:rPr>
          <w:rFonts w:eastAsia="Times New Roman"/>
          <w:sz w:val="24"/>
          <w:szCs w:val="24"/>
          <w:lang w:val="mn-MN" w:eastAsia="ru-RU"/>
        </w:rPr>
        <w:t>,  D-155A маркийн бульдозер</w:t>
      </w:r>
      <w:r w:rsidRPr="00556795">
        <w:rPr>
          <w:rFonts w:eastAsia="Times New Roman"/>
          <w:sz w:val="24"/>
          <w:szCs w:val="24"/>
          <w:lang w:eastAsia="ru-RU"/>
        </w:rPr>
        <w:t>-2</w:t>
      </w:r>
      <w:r w:rsidRPr="00556795">
        <w:rPr>
          <w:rFonts w:eastAsia="Times New Roman"/>
          <w:sz w:val="24"/>
          <w:szCs w:val="24"/>
          <w:lang w:val="mn-MN" w:eastAsia="ru-RU"/>
        </w:rPr>
        <w:t>, САТ-824 маркийн дугуйт бульдозер</w:t>
      </w:r>
      <w:r w:rsidRPr="00556795">
        <w:rPr>
          <w:rFonts w:eastAsia="Times New Roman"/>
          <w:sz w:val="24"/>
          <w:szCs w:val="24"/>
          <w:lang w:eastAsia="ru-RU"/>
        </w:rPr>
        <w:t>-2</w:t>
      </w:r>
      <w:r w:rsidRPr="00556795">
        <w:rPr>
          <w:rFonts w:eastAsia="Times New Roman"/>
          <w:sz w:val="24"/>
          <w:szCs w:val="24"/>
          <w:lang w:val="mn-MN" w:eastAsia="ru-RU"/>
        </w:rPr>
        <w:t>, D50KS маркийн өрмийн машин 2, замын ажилд САТ-16G маркийн автогрейдер</w:t>
      </w:r>
      <w:r w:rsidRPr="00556795">
        <w:rPr>
          <w:rFonts w:eastAsia="Times New Roman"/>
          <w:sz w:val="24"/>
          <w:szCs w:val="24"/>
          <w:lang w:eastAsia="ru-RU"/>
        </w:rPr>
        <w:t>-</w:t>
      </w:r>
      <w:r w:rsidRPr="00556795">
        <w:rPr>
          <w:rFonts w:eastAsia="Times New Roman"/>
          <w:sz w:val="24"/>
          <w:szCs w:val="24"/>
          <w:lang w:val="mn-MN" w:eastAsia="ru-RU"/>
        </w:rPr>
        <w:t xml:space="preserve">2, САТ </w:t>
      </w:r>
      <w:r w:rsidRPr="00556795">
        <w:rPr>
          <w:rFonts w:eastAsia="Times New Roman"/>
          <w:sz w:val="24"/>
          <w:szCs w:val="24"/>
          <w:lang w:val="ru-RU" w:eastAsia="ru-RU"/>
        </w:rPr>
        <w:t>D-10T</w:t>
      </w:r>
      <w:r w:rsidRPr="00556795">
        <w:rPr>
          <w:rFonts w:eastAsia="Times New Roman"/>
          <w:sz w:val="24"/>
          <w:szCs w:val="24"/>
          <w:lang w:val="mn-MN" w:eastAsia="ru-RU"/>
        </w:rPr>
        <w:t xml:space="preserve"> маркийн бульдозер</w:t>
      </w:r>
      <w:r w:rsidRPr="00556795">
        <w:rPr>
          <w:rFonts w:eastAsia="Times New Roman"/>
          <w:sz w:val="24"/>
          <w:szCs w:val="24"/>
          <w:lang w:eastAsia="ru-RU"/>
        </w:rPr>
        <w:t>-</w:t>
      </w:r>
      <w:r w:rsidRPr="00556795">
        <w:rPr>
          <w:rFonts w:eastAsia="Times New Roman"/>
          <w:sz w:val="24"/>
          <w:szCs w:val="24"/>
          <w:lang w:val="mn-MN" w:eastAsia="ru-RU"/>
        </w:rPr>
        <w:t>1, TEREX маркийн усны машин</w:t>
      </w:r>
      <w:r w:rsidRPr="00556795">
        <w:rPr>
          <w:rFonts w:eastAsia="Times New Roman"/>
          <w:sz w:val="24"/>
          <w:szCs w:val="24"/>
          <w:lang w:eastAsia="ru-RU"/>
        </w:rPr>
        <w:t>-</w:t>
      </w:r>
      <w:r w:rsidRPr="00556795">
        <w:rPr>
          <w:rFonts w:eastAsia="Times New Roman"/>
          <w:sz w:val="24"/>
          <w:szCs w:val="24"/>
          <w:lang w:val="mn-MN" w:eastAsia="ru-RU"/>
        </w:rPr>
        <w:t xml:space="preserve">1, мөн САТ-320В маркийн гидроэкскаватор </w:t>
      </w:r>
      <w:r w:rsidRPr="00556795">
        <w:rPr>
          <w:rFonts w:eastAsia="Times New Roman"/>
          <w:sz w:val="24"/>
          <w:szCs w:val="24"/>
          <w:lang w:eastAsia="ru-RU"/>
        </w:rPr>
        <w:t>2</w:t>
      </w:r>
      <w:r w:rsidRPr="00556795">
        <w:rPr>
          <w:rFonts w:eastAsia="Times New Roman"/>
          <w:sz w:val="24"/>
          <w:szCs w:val="24"/>
          <w:lang w:val="mn-MN" w:eastAsia="ru-RU"/>
        </w:rPr>
        <w:t xml:space="preserve">, </w:t>
      </w:r>
      <w:r w:rsidRPr="00556795">
        <w:rPr>
          <w:rFonts w:eastAsia="Times New Roman"/>
          <w:sz w:val="24"/>
          <w:szCs w:val="24"/>
          <w:lang w:val="ru-RU" w:eastAsia="ru-RU"/>
        </w:rPr>
        <w:t xml:space="preserve">Hitachi-ZX200 </w:t>
      </w:r>
      <w:r w:rsidRPr="00556795">
        <w:rPr>
          <w:rFonts w:eastAsia="Times New Roman"/>
          <w:sz w:val="24"/>
          <w:szCs w:val="24"/>
          <w:lang w:val="mn-MN" w:eastAsia="ru-RU"/>
        </w:rPr>
        <w:t>маркийн гидро экскаватор</w:t>
      </w:r>
      <w:r w:rsidRPr="00556795">
        <w:rPr>
          <w:rFonts w:eastAsia="Times New Roman"/>
          <w:sz w:val="24"/>
          <w:szCs w:val="24"/>
          <w:lang w:eastAsia="ru-RU"/>
        </w:rPr>
        <w:t>-</w:t>
      </w:r>
      <w:r w:rsidRPr="00556795">
        <w:rPr>
          <w:rFonts w:eastAsia="Times New Roman"/>
          <w:sz w:val="24"/>
          <w:szCs w:val="24"/>
          <w:lang w:val="mn-MN" w:eastAsia="ru-RU"/>
        </w:rPr>
        <w:t xml:space="preserve">1, ТЭМ-2У маркийн илчит тэрэг 3, САТ-988 авто ачигч 2,  нийт </w:t>
      </w:r>
      <w:r w:rsidRPr="00556795">
        <w:rPr>
          <w:rFonts w:eastAsia="Times New Roman"/>
          <w:sz w:val="24"/>
          <w:szCs w:val="24"/>
          <w:lang w:eastAsia="ru-RU"/>
        </w:rPr>
        <w:t>47</w:t>
      </w:r>
      <w:r w:rsidRPr="00556795">
        <w:rPr>
          <w:rFonts w:eastAsia="Times New Roman"/>
          <w:sz w:val="24"/>
          <w:szCs w:val="24"/>
          <w:lang w:val="mn-MN" w:eastAsia="ru-RU"/>
        </w:rPr>
        <w:t xml:space="preserve"> нэгж данстай ажилласан.</w:t>
      </w:r>
    </w:p>
    <w:p w:rsidR="009915F8" w:rsidRPr="00556795" w:rsidRDefault="009915F8" w:rsidP="009915F8">
      <w:pPr>
        <w:ind w:firstLine="360"/>
        <w:jc w:val="both"/>
        <w:rPr>
          <w:rFonts w:eastAsia="Times New Roman"/>
          <w:sz w:val="24"/>
          <w:szCs w:val="24"/>
          <w:lang w:val="mn-MN" w:eastAsia="ru-RU"/>
        </w:rPr>
      </w:pPr>
    </w:p>
    <w:p w:rsidR="009915F8" w:rsidRPr="00556795" w:rsidRDefault="009915F8" w:rsidP="009915F8">
      <w:pPr>
        <w:ind w:firstLine="360"/>
        <w:jc w:val="both"/>
        <w:rPr>
          <w:rFonts w:eastAsia="Times New Roman"/>
          <w:color w:val="000000"/>
          <w:sz w:val="24"/>
          <w:szCs w:val="24"/>
          <w:lang w:val="mn-MN" w:eastAsia="ru-RU"/>
        </w:rPr>
      </w:pPr>
      <w:r w:rsidRPr="00556795">
        <w:rPr>
          <w:rFonts w:eastAsia="Times New Roman"/>
          <w:sz w:val="24"/>
          <w:szCs w:val="24"/>
          <w:lang w:val="mn-MN" w:eastAsia="ru-RU"/>
        </w:rPr>
        <w:lastRenderedPageBreak/>
        <w:t>201</w:t>
      </w:r>
      <w:r w:rsidRPr="00556795">
        <w:rPr>
          <w:rFonts w:eastAsia="Times New Roman"/>
          <w:sz w:val="24"/>
          <w:szCs w:val="24"/>
          <w:lang w:eastAsia="ru-RU"/>
        </w:rPr>
        <w:t>5</w:t>
      </w:r>
      <w:r w:rsidRPr="00556795">
        <w:rPr>
          <w:rFonts w:eastAsia="Times New Roman"/>
          <w:sz w:val="24"/>
          <w:szCs w:val="24"/>
          <w:lang w:val="mn-MN" w:eastAsia="ru-RU"/>
        </w:rPr>
        <w:t xml:space="preserve"> онд техникийн бэлэн байдлын коэффициент 0.</w:t>
      </w:r>
      <w:r w:rsidRPr="00556795">
        <w:rPr>
          <w:rFonts w:eastAsia="Times New Roman"/>
          <w:sz w:val="24"/>
          <w:szCs w:val="24"/>
          <w:lang w:eastAsia="ru-RU"/>
        </w:rPr>
        <w:t>65</w:t>
      </w:r>
      <w:r w:rsidRPr="00556795">
        <w:rPr>
          <w:rFonts w:eastAsia="Times New Roman"/>
          <w:sz w:val="24"/>
          <w:szCs w:val="24"/>
          <w:lang w:val="mn-MN" w:eastAsia="ru-RU"/>
        </w:rPr>
        <w:t>, техник ашиглалтын коэффициент 0.</w:t>
      </w:r>
      <w:r w:rsidRPr="00556795">
        <w:rPr>
          <w:rFonts w:eastAsia="Times New Roman"/>
          <w:sz w:val="24"/>
          <w:szCs w:val="24"/>
          <w:lang w:eastAsia="ru-RU"/>
        </w:rPr>
        <w:t>63</w:t>
      </w:r>
      <w:r w:rsidRPr="00556795">
        <w:rPr>
          <w:rFonts w:eastAsia="Times New Roman"/>
          <w:sz w:val="24"/>
          <w:szCs w:val="24"/>
          <w:lang w:val="mn-MN" w:eastAsia="ru-RU"/>
        </w:rPr>
        <w:t xml:space="preserve"> болж, төлөвлөгөөт засвараар 1</w:t>
      </w:r>
      <w:r w:rsidRPr="00556795">
        <w:rPr>
          <w:rFonts w:eastAsia="Times New Roman"/>
          <w:sz w:val="24"/>
          <w:szCs w:val="24"/>
          <w:lang w:eastAsia="ru-RU"/>
        </w:rPr>
        <w:t>4</w:t>
      </w:r>
      <w:r w:rsidRPr="00556795">
        <w:rPr>
          <w:rFonts w:eastAsia="Times New Roman"/>
          <w:sz w:val="24"/>
          <w:szCs w:val="24"/>
          <w:lang w:val="mn-MN" w:eastAsia="ru-RU"/>
        </w:rPr>
        <w:t>.</w:t>
      </w:r>
      <w:r w:rsidRPr="00556795">
        <w:rPr>
          <w:rFonts w:eastAsia="Times New Roman"/>
          <w:sz w:val="24"/>
          <w:szCs w:val="24"/>
          <w:lang w:eastAsia="ru-RU"/>
        </w:rPr>
        <w:t>6</w:t>
      </w:r>
      <w:r w:rsidRPr="00556795">
        <w:rPr>
          <w:rFonts w:eastAsia="Times New Roman"/>
          <w:sz w:val="24"/>
          <w:szCs w:val="24"/>
          <w:lang w:val="mn-MN" w:eastAsia="ru-RU"/>
        </w:rPr>
        <w:t xml:space="preserve"> мян.цаг, төлөвлөгөөт бус засвараар 6</w:t>
      </w:r>
      <w:r w:rsidRPr="00556795">
        <w:rPr>
          <w:rFonts w:eastAsia="Times New Roman"/>
          <w:sz w:val="24"/>
          <w:szCs w:val="24"/>
          <w:lang w:eastAsia="ru-RU"/>
        </w:rPr>
        <w:t>1</w:t>
      </w:r>
      <w:r w:rsidRPr="00556795">
        <w:rPr>
          <w:rFonts w:eastAsia="Times New Roman"/>
          <w:sz w:val="24"/>
          <w:szCs w:val="24"/>
          <w:lang w:val="mn-MN" w:eastAsia="ru-RU"/>
        </w:rPr>
        <w:t>.</w:t>
      </w:r>
      <w:r w:rsidRPr="00556795">
        <w:rPr>
          <w:rFonts w:eastAsia="Times New Roman"/>
          <w:sz w:val="24"/>
          <w:szCs w:val="24"/>
          <w:lang w:eastAsia="ru-RU"/>
        </w:rPr>
        <w:t>5</w:t>
      </w:r>
      <w:r w:rsidRPr="00556795">
        <w:rPr>
          <w:rFonts w:eastAsia="Times New Roman"/>
          <w:sz w:val="24"/>
          <w:szCs w:val="24"/>
          <w:lang w:val="mn-MN" w:eastAsia="ru-RU"/>
        </w:rPr>
        <w:t xml:space="preserve"> мян.цаг, сэлбэггүй  8</w:t>
      </w:r>
      <w:r w:rsidRPr="00556795">
        <w:rPr>
          <w:rFonts w:eastAsia="Times New Roman"/>
          <w:sz w:val="24"/>
          <w:szCs w:val="24"/>
          <w:lang w:eastAsia="ru-RU"/>
        </w:rPr>
        <w:t>1</w:t>
      </w:r>
      <w:r w:rsidRPr="00556795">
        <w:rPr>
          <w:rFonts w:eastAsia="Times New Roman"/>
          <w:sz w:val="24"/>
          <w:szCs w:val="24"/>
          <w:lang w:val="mn-MN" w:eastAsia="ru-RU"/>
        </w:rPr>
        <w:t>.</w:t>
      </w:r>
      <w:r w:rsidRPr="00556795">
        <w:rPr>
          <w:rFonts w:eastAsia="Times New Roman"/>
          <w:sz w:val="24"/>
          <w:szCs w:val="24"/>
          <w:lang w:eastAsia="ru-RU"/>
        </w:rPr>
        <w:t>6</w:t>
      </w:r>
      <w:r w:rsidRPr="00556795">
        <w:rPr>
          <w:rFonts w:eastAsia="Times New Roman"/>
          <w:sz w:val="24"/>
          <w:szCs w:val="24"/>
          <w:lang w:val="mn-MN" w:eastAsia="ru-RU"/>
        </w:rPr>
        <w:t xml:space="preserve"> мян. цаг зогсжээ. </w:t>
      </w:r>
      <w:r w:rsidRPr="00556795">
        <w:rPr>
          <w:rFonts w:eastAsia="Times New Roman"/>
          <w:color w:val="000000"/>
          <w:sz w:val="24"/>
          <w:szCs w:val="24"/>
          <w:lang w:val="mn-MN" w:eastAsia="ru-RU"/>
        </w:rPr>
        <w:t xml:space="preserve">Үйлчилгээний авто машинууд  хувьд </w:t>
      </w:r>
      <w:r w:rsidRPr="00556795">
        <w:rPr>
          <w:rFonts w:eastAsia="Times New Roman"/>
          <w:color w:val="000000"/>
          <w:sz w:val="24"/>
          <w:szCs w:val="24"/>
          <w:lang w:eastAsia="ru-RU"/>
        </w:rPr>
        <w:t xml:space="preserve">68 </w:t>
      </w:r>
      <w:r w:rsidRPr="00556795">
        <w:rPr>
          <w:rFonts w:eastAsia="Times New Roman"/>
          <w:color w:val="000000"/>
          <w:sz w:val="24"/>
          <w:szCs w:val="24"/>
          <w:lang w:val="mn-MN" w:eastAsia="ru-RU"/>
        </w:rPr>
        <w:t xml:space="preserve">хөдлөх бүрэлдхүүнтэй ажиллаж, ТББК – 0.90, ТАК – 0.85 % гарсан. Өмнөх онд ТББК-0.93%, ТАК-0.87% байсан байна. </w:t>
      </w:r>
    </w:p>
    <w:p w:rsidR="009915F8" w:rsidRDefault="009915F8" w:rsidP="009915F8">
      <w:pPr>
        <w:ind w:firstLine="360"/>
        <w:jc w:val="both"/>
        <w:rPr>
          <w:rFonts w:eastAsia="Times New Roman"/>
          <w:color w:val="000000"/>
          <w:sz w:val="24"/>
          <w:szCs w:val="24"/>
          <w:lang w:val="mn-MN" w:eastAsia="ru-RU"/>
        </w:rPr>
      </w:pPr>
    </w:p>
    <w:p w:rsidR="009915F8" w:rsidRPr="009975E7" w:rsidRDefault="009915F8" w:rsidP="009915F8">
      <w:pPr>
        <w:ind w:firstLine="720"/>
        <w:jc w:val="both"/>
        <w:rPr>
          <w:rFonts w:eastAsia="Times New Roman"/>
          <w:sz w:val="24"/>
          <w:szCs w:val="24"/>
          <w:lang w:eastAsia="ru-RU"/>
        </w:rPr>
      </w:pPr>
    </w:p>
    <w:p w:rsidR="009915F8" w:rsidRPr="00AA65C2" w:rsidRDefault="009915F8" w:rsidP="009915F8">
      <w:pPr>
        <w:pStyle w:val="ListParagraph"/>
        <w:keepNext/>
        <w:keepLines/>
        <w:numPr>
          <w:ilvl w:val="0"/>
          <w:numId w:val="2"/>
        </w:numPr>
        <w:jc w:val="both"/>
        <w:outlineLvl w:val="0"/>
        <w:rPr>
          <w:lang w:val="mn-MN" w:eastAsia="ru-RU"/>
        </w:rPr>
      </w:pPr>
      <w:bookmarkStart w:id="6" w:name="_Toc446319091"/>
      <w:r w:rsidRPr="00AA65C2">
        <w:rPr>
          <w:b/>
          <w:bCs/>
          <w:caps/>
          <w:color w:val="002060"/>
          <w:lang w:val="mn-MN" w:eastAsia="ru-RU"/>
        </w:rPr>
        <w:t>САНХҮҮ ЭДИЙН ЗАСГИЙН ҮЗҮҮЛЭЛТ</w:t>
      </w:r>
      <w:bookmarkEnd w:id="6"/>
    </w:p>
    <w:p w:rsidR="009915F8" w:rsidRPr="009975E7" w:rsidRDefault="009915F8" w:rsidP="009915F8">
      <w:pPr>
        <w:keepNext/>
        <w:keepLines/>
        <w:ind w:firstLine="720"/>
        <w:jc w:val="both"/>
        <w:outlineLvl w:val="0"/>
        <w:rPr>
          <w:rFonts w:eastAsia="Times New Roman"/>
          <w:sz w:val="24"/>
          <w:szCs w:val="24"/>
          <w:lang w:val="mn-MN" w:eastAsia="ru-RU"/>
        </w:rPr>
      </w:pPr>
    </w:p>
    <w:p w:rsidR="009915F8" w:rsidRPr="009975E7" w:rsidRDefault="009915F8" w:rsidP="009915F8">
      <w:pPr>
        <w:keepNext/>
        <w:keepLines/>
        <w:ind w:firstLine="720"/>
        <w:jc w:val="both"/>
        <w:outlineLvl w:val="0"/>
        <w:rPr>
          <w:rFonts w:eastAsia="Times New Roman"/>
          <w:sz w:val="24"/>
          <w:szCs w:val="24"/>
          <w:lang w:val="mn-MN" w:eastAsia="ru-RU"/>
        </w:rPr>
      </w:pPr>
      <w:r w:rsidRPr="009975E7">
        <w:rPr>
          <w:rFonts w:eastAsia="Times New Roman"/>
          <w:sz w:val="24"/>
          <w:szCs w:val="24"/>
          <w:lang w:val="mn-MN" w:eastAsia="ru-RU"/>
        </w:rPr>
        <w:t xml:space="preserve">2015 онд нийт 103,310.5 сая төгрөгийн орлого олж, 108,023.7 сая төгрөгийн зардал гарган 4,731.1 сая төгрөгийн алдагдалтай ажиллахаар төлөвлөснөөс 107,854.4 сая төгрөгийн орлоготой, 112,388.1 сая төгрөгийн зардалтай, нийт 4,538.9 сая төгрөгийн алдагдалтай ажиллаж, төлөвлөсөн алдагдлыг 192.2 сая төгрөгөөр хэтрүүлсэн. Нийт орлогын 101.5 тэрбум төгрөг буюу 94.2 %-ийг нүүрс борлуулалтын, 5.8 % буюу 6.3 тэрбум төгрөгийг  бусад орлого бүрдүүлж байна. </w:t>
      </w:r>
    </w:p>
    <w:p w:rsidR="009915F8" w:rsidRDefault="009915F8" w:rsidP="009915F8">
      <w:pPr>
        <w:ind w:firstLine="851"/>
        <w:jc w:val="both"/>
        <w:rPr>
          <w:rFonts w:eastAsia="Times New Roman"/>
          <w:sz w:val="24"/>
          <w:szCs w:val="24"/>
          <w:lang w:val="mn-MN" w:eastAsia="ru-RU"/>
        </w:rPr>
      </w:pPr>
    </w:p>
    <w:p w:rsidR="009915F8" w:rsidRPr="009975E7" w:rsidRDefault="009915F8" w:rsidP="009915F8">
      <w:pPr>
        <w:ind w:firstLine="851"/>
        <w:jc w:val="both"/>
        <w:rPr>
          <w:rFonts w:eastAsia="Times New Roman"/>
          <w:sz w:val="24"/>
          <w:szCs w:val="24"/>
          <w:lang w:val="mn-MN" w:eastAsia="ru-RU"/>
        </w:rPr>
      </w:pPr>
      <w:r w:rsidRPr="009975E7">
        <w:rPr>
          <w:rFonts w:eastAsia="Times New Roman"/>
          <w:sz w:val="24"/>
          <w:szCs w:val="24"/>
          <w:lang w:val="mn-MN" w:eastAsia="ru-RU"/>
        </w:rPr>
        <w:t>2015 онд толгой компаний захиалгаар 2012-2015 оны хагас жил хүртлэх хугацааны санхүүгийн тайланд олон улсын аудит  хийлгэж, 2012-2014 оны жилийн эцсийн санхүүгийн тайланд аудитлагдсан, 2015 оны эхний хагас жилийн аудитын  завсрын дүгнэлт гаргуулсан.</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 xml:space="preserve">Тус аудит 2011-2014 оны санхүүгийн тайланд хийсэн залруулгаар 2011 оны 4.9 тэрбум төгрөгийн алдагдлыг 1.12 тэрбум төгрөгийн ашигтай, 2012 оны 5.8 тэрбум төгрөгийн алдагдлыг 12.75 тэрбум төгрөгийн алдагдалтай, 2013 оны 9.2 тэрбум төгрөгийн алдагдлыг 2.76 тэрбум төгрөгийн ашигтай, 2014 оны 6.3 тэрбум төгрөгийн алдагдлыг 10.6 тэрбум төгрөгийн ашигтай болгож өөрчилсөн. Алдагдлыг бууруулж ашигтай баланс гарахад урьдчилж хуулсан хөрс  хуулалттын зардлыг дараа он руу шилжүүлсэн (20.3 тэрбум төгрөг), үндсэн хөрөнгийн дахин үнэлгээг хүчингүй болгосноос (11.1 тэрбум төгрөг) гол  шалтгаалсан.  </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2015 оны гүйцэтгэлд ОУ-ын аудитын зөвлөмжийн дагуу балансад төлөвлөгдөөгүй дараах зардлууд гарсан: 1) 2015 оны үр дүнгийн цалинд 1.9 тэрбум 2) Тэтгэврийн санд 0.85 тэрбум, 3) Хөрс хуулалтын өртөг 0.87 тэрбум, 4) Үндсэн хөрөнгийн залруулгаас 2.5 тэрбум төгрөг,  5) Нийгмийн хөгжлийн сангаар 0.27 тэрбум төгрөгөөр нэмэгдсэн. Залруулгаар гарсан ашигт ноогдох 3.1 тэрбум төгрөгийг ашгийг эдийн засгийн ил тодын байдлыг дэмжих тухай хуульд хамруулж, ААНОАТ- аас чөлөөлүүлсэн.</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Тайлант онд  худалдан авах  ажиллагааны 582 гэрээ байгуулж, 58.4 тэрбум төгрөгийн худалдан авалт хийхээр төлөвлөж, гүйцэтгэлээр 47.3 тэрбум төгрөг болж 6.4 тэрбум төгрөгөөр буурсан.</w:t>
      </w:r>
    </w:p>
    <w:p w:rsidR="009915F8"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Агуулахын  үлдэгдэл  2011 онд 25.6 тэрбум, 2012 онд 23.8 тэрбум, 2013 онд 18.8 тэрбум, 2014 онд 18.7 тэрбум байсан бол, 2015 онд 14.1 тэрбум төгрөг болж буурсан байна. Бүтцийн хувьд нийт үлдэгдлийн 40.4 % нь уулын тоног төхөөрөмжүүдийн сэлбэг, 20.8 % нь технологийн машин техникүүдийн сэлбэг,  14.1 % нь цахилгааны сэлбэг, 10.1 % нь шатах тослох материал, 2% нь өрмийн сэлбэг, 14.6 % нь бусад сэлбэг материалууд байна.</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p>
    <w:p w:rsidR="009915F8" w:rsidRPr="00AA65C2" w:rsidRDefault="009915F8" w:rsidP="009915F8">
      <w:pPr>
        <w:pStyle w:val="ListParagraph"/>
        <w:numPr>
          <w:ilvl w:val="0"/>
          <w:numId w:val="2"/>
        </w:numPr>
        <w:spacing w:before="100"/>
        <w:jc w:val="both"/>
        <w:outlineLvl w:val="1"/>
        <w:rPr>
          <w:b/>
          <w:caps/>
          <w:color w:val="002060"/>
          <w:spacing w:val="15"/>
          <w:lang w:val="mn-MN"/>
        </w:rPr>
      </w:pPr>
      <w:bookmarkStart w:id="7" w:name="_Toc446319092"/>
      <w:r w:rsidRPr="00AA65C2">
        <w:rPr>
          <w:b/>
          <w:caps/>
          <w:color w:val="002060"/>
          <w:spacing w:val="15"/>
          <w:lang w:val="mn-MN"/>
        </w:rPr>
        <w:t>Авлага</w:t>
      </w:r>
      <w:bookmarkEnd w:id="7"/>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 xml:space="preserve">Нийт авлага 10,512.2 тэрбум төгрөг болж өмнөх оноос 586.7 сая төгрөгөөр буюу 5.2%-р буурсан. Нүүрс борлуулалтын авлага оны эхэнд 9,831.7 сая төг байсан бол оны эцэст 9,283.3 сая төгрөг болж 548.3 сая төгрөгөөр буурсантай холбоотой. </w:t>
      </w:r>
      <w:r w:rsidRPr="009975E7">
        <w:rPr>
          <w:rFonts w:eastAsia="Times New Roman"/>
          <w:sz w:val="24"/>
          <w:szCs w:val="24"/>
          <w:lang w:val="mn-MN" w:eastAsia="ru-RU"/>
        </w:rPr>
        <w:lastRenderedPageBreak/>
        <w:t xml:space="preserve">Хуримтлагдсан авлагын  хэмжээ сүүлийн жилүүдэд тодорхой хэмжээгээр буурч байгаа боловч  ДЦС-2 ХК-ийн 1.3 тэрбум, БНДС ХК-ийн 2.5 тэрбум, БН-Илч ХХК-ийн 678.4 сая, УБ ТЗам ХНН-ийн 680.4 сая, Хөтөлийн ЦШҮйлдвэрийн 612.4 сая төгрөг, нийт 5.7 тэрбум төгрөгийн авлага нь нийт борлуулалтын авлагын 52 %-ийг эзлэж байна. </w:t>
      </w:r>
    </w:p>
    <w:p w:rsidR="009915F8" w:rsidRPr="009975E7" w:rsidRDefault="009915F8" w:rsidP="009915F8">
      <w:pPr>
        <w:ind w:firstLine="851"/>
        <w:jc w:val="both"/>
        <w:rPr>
          <w:rFonts w:eastAsia="Times New Roman"/>
          <w:sz w:val="24"/>
          <w:szCs w:val="24"/>
          <w:lang w:val="mn-MN" w:eastAsia="ru-RU"/>
        </w:rPr>
      </w:pPr>
    </w:p>
    <w:p w:rsidR="009915F8" w:rsidRPr="009975E7" w:rsidRDefault="009915F8" w:rsidP="009915F8">
      <w:pPr>
        <w:numPr>
          <w:ilvl w:val="0"/>
          <w:numId w:val="2"/>
        </w:numPr>
        <w:spacing w:before="100"/>
        <w:ind w:left="0" w:firstLine="851"/>
        <w:jc w:val="both"/>
        <w:outlineLvl w:val="1"/>
        <w:rPr>
          <w:rFonts w:eastAsia="Times New Roman"/>
          <w:b/>
          <w:caps/>
          <w:color w:val="002060"/>
          <w:spacing w:val="15"/>
          <w:sz w:val="24"/>
          <w:szCs w:val="24"/>
          <w:lang w:val="mn-MN"/>
        </w:rPr>
      </w:pPr>
      <w:bookmarkStart w:id="8" w:name="_Toc446319093"/>
      <w:r w:rsidRPr="009975E7">
        <w:rPr>
          <w:rFonts w:eastAsia="Times New Roman"/>
          <w:b/>
          <w:caps/>
          <w:color w:val="002060"/>
          <w:spacing w:val="15"/>
          <w:sz w:val="24"/>
          <w:szCs w:val="24"/>
          <w:lang w:val="mn-MN"/>
        </w:rPr>
        <w:t>Урт хугацаат, богино хугацаат өр төлбөр</w:t>
      </w:r>
      <w:bookmarkEnd w:id="8"/>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2015 онд нийт өр төлбөрт эзлэх богино хугацаат зээлийн үлдэгдэл 32.3 % болж, мөнгөн дүнгээр 39.3 тэрбум төгрөгт хүрч, 3.1 тэрбум төгрөгөөр өссөн. 2015 онд дизелийн түлш нийлүүлэгч компаниуд, татварын байгууллагад төлөх төлөх ёстой 10 тэрбум төгрөгийн өглөгийг төлж чадахгүй хуримтлуулсан учраас Сангийн яамны зөвшөөрлөөр   хүний хөгжлийн  сангаас тус төлбөрийг төлж, энэхүү өр төлбөрийг 5 жилийн хугацаанд эргүүлэн төлөх үүрэг хүлээснээр урт хугацаат өглөгт шилжүүлэн бүртгэсэн.</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 xml:space="preserve">2015 оны бэлтгэн нийлүүлэгчдэд өгөх өр төлбөрийн эхний үлдэгдэл 28 тэрбум 464 сая төгрөг дээр  47 тэрбум 368 сая төгрөгийн тооцоо нэмэгдэж, 48 тэрбум 84 сая төгрөгийн төлөлт хийж, оны эцэст 27 тэрбум 747 сая төгрөгийн үлдэгдэлтэй гарсан. Үүнээс экскаватор, технологийн авто машины сэлбэг, материалд 13 тэрбум төгрөг, гэрээт ажилд 1 тэрбум төгрөг, тэсрэх материалд 1.4 тэрбум төгрөг, дизель түлш 8.3 тэрбум төгрөг, шинэ техник худалдан авсны 2.4 тэрбум төгрөг, бусад бэлтгэн нийлүүлэгчдэд 1.4 тэрбум  төгрөгийн өглөгтэй байна. </w:t>
      </w:r>
    </w:p>
    <w:p w:rsidR="009915F8" w:rsidRPr="009975E7" w:rsidRDefault="009915F8" w:rsidP="009915F8">
      <w:pPr>
        <w:ind w:firstLine="851"/>
        <w:jc w:val="both"/>
        <w:rPr>
          <w:rFonts w:eastAsia="Times New Roman"/>
          <w:sz w:val="24"/>
          <w:szCs w:val="24"/>
          <w:lang w:val="mn-MN" w:eastAsia="ru-RU"/>
        </w:rPr>
      </w:pPr>
    </w:p>
    <w:p w:rsidR="009915F8" w:rsidRPr="009975E7" w:rsidRDefault="009915F8" w:rsidP="009915F8">
      <w:pPr>
        <w:numPr>
          <w:ilvl w:val="1"/>
          <w:numId w:val="0"/>
        </w:numPr>
        <w:ind w:firstLine="851"/>
        <w:jc w:val="both"/>
        <w:rPr>
          <w:rFonts w:eastAsia="Times New Roman"/>
          <w:i/>
          <w:iCs/>
          <w:color w:val="002060"/>
          <w:spacing w:val="15"/>
          <w:sz w:val="24"/>
          <w:szCs w:val="24"/>
          <w:lang w:val="mn-MN" w:eastAsia="ru-RU"/>
        </w:rPr>
      </w:pPr>
      <w:r w:rsidRPr="009975E7">
        <w:rPr>
          <w:rFonts w:eastAsia="Times New Roman"/>
          <w:i/>
          <w:iCs/>
          <w:color w:val="002060"/>
          <w:spacing w:val="15"/>
          <w:sz w:val="24"/>
          <w:szCs w:val="24"/>
          <w:lang w:val="ru-RU" w:eastAsia="ru-RU"/>
        </w:rPr>
        <w:t>Зээлийн үзүүлэлт</w:t>
      </w:r>
      <w:r w:rsidRPr="009975E7">
        <w:rPr>
          <w:rFonts w:eastAsia="Times New Roman"/>
          <w:i/>
          <w:iCs/>
          <w:color w:val="002060"/>
          <w:spacing w:val="15"/>
          <w:sz w:val="24"/>
          <w:szCs w:val="24"/>
          <w:lang w:val="mn-MN" w:eastAsia="ru-RU"/>
        </w:rPr>
        <w:t>:</w:t>
      </w: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2015 онд мөнгөн хөрөнгийн дутагдлыг нөхөх, өвөлжилтийн бэлтгэл ажил хангах зорилгоор Голомт банкнаас 2 тэрбум төгрөг, Хаан банкнаас 4 тэрбум төгрөг, нийт 6 тэрбум төгрөгийн зээл авч, худалдан авсан бараа үйлчилгээний хуримтлагдсан өр төлбөр барагдуулахад 75 % буюу 4,500.0 сая төгрөгийг, татвар нийгмийн даатгалын өглөгийг бууруулахад 1,500.0 сая төгрөгийг тус тус зарцуулсан.</w:t>
      </w:r>
    </w:p>
    <w:p w:rsidR="009915F8" w:rsidRDefault="009915F8" w:rsidP="009915F8">
      <w:pPr>
        <w:spacing w:line="276" w:lineRule="auto"/>
        <w:ind w:firstLine="720"/>
        <w:jc w:val="both"/>
        <w:rPr>
          <w:rFonts w:eastAsia="Times New Roman"/>
          <w:sz w:val="24"/>
          <w:szCs w:val="24"/>
          <w:lang w:val="mn-MN" w:eastAsia="ru-RU"/>
        </w:rPr>
      </w:pPr>
    </w:p>
    <w:p w:rsidR="009915F8" w:rsidRPr="009975E7" w:rsidRDefault="009915F8" w:rsidP="009915F8">
      <w:pPr>
        <w:spacing w:line="276" w:lineRule="auto"/>
        <w:ind w:firstLine="720"/>
        <w:jc w:val="both"/>
        <w:rPr>
          <w:rFonts w:eastAsia="Times New Roman"/>
          <w:sz w:val="24"/>
          <w:szCs w:val="24"/>
          <w:lang w:val="mn-MN" w:eastAsia="ru-RU"/>
        </w:rPr>
      </w:pPr>
      <w:r w:rsidRPr="009975E7">
        <w:rPr>
          <w:rFonts w:eastAsia="Times New Roman"/>
          <w:sz w:val="24"/>
          <w:szCs w:val="24"/>
          <w:lang w:val="mn-MN" w:eastAsia="ru-RU"/>
        </w:rPr>
        <w:t xml:space="preserve">Урт хугацаат өр төлбөрийн дүн өнгөрсөн оны мөн үед 58.6 тэрбум төгрөг байсан бол тайлант хугацаанд 82.5 тэрбум болж 23.9 тэрбум төгрөгөөр өсчээ. </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2015 онд урт хугацаат өр төлбөрт нийт 5,533.6 сая төгрөг төлсний 1,115.4 сая төгрөгийг Дэлхийн банк, Японы засгийн газрын санхүүжилтээр олгогдсон “Монгол нүүрс төсөл” зээлийн хүүгийн 3,778.2 сая төгрөгийг хөгжлийн банкны зээлэнд, 540 сая төгрөгийг ДЦС-3 станцын зээлэнд, 100 сая төгрөгийг Хүний хөгжлийн сангийн зээлд тус тус төлсөн байна.</w:t>
      </w:r>
    </w:p>
    <w:p w:rsidR="009915F8" w:rsidRDefault="009915F8" w:rsidP="009915F8">
      <w:pPr>
        <w:ind w:firstLine="720"/>
        <w:jc w:val="both"/>
        <w:rPr>
          <w:rFonts w:eastAsia="Times New Roman"/>
          <w:sz w:val="24"/>
          <w:szCs w:val="24"/>
          <w:lang w:val="mn-MN" w:eastAsia="ru-RU"/>
        </w:rPr>
      </w:pPr>
    </w:p>
    <w:p w:rsidR="009915F8" w:rsidRPr="009975E7" w:rsidRDefault="009915F8" w:rsidP="009915F8">
      <w:pPr>
        <w:ind w:firstLine="720"/>
        <w:jc w:val="both"/>
        <w:rPr>
          <w:rFonts w:eastAsia="Times New Roman"/>
          <w:sz w:val="24"/>
          <w:szCs w:val="24"/>
          <w:lang w:val="mn-MN" w:eastAsia="ru-RU"/>
        </w:rPr>
      </w:pPr>
      <w:r w:rsidRPr="009975E7">
        <w:rPr>
          <w:rFonts w:eastAsia="Times New Roman"/>
          <w:sz w:val="24"/>
          <w:szCs w:val="24"/>
          <w:lang w:val="mn-MN" w:eastAsia="ru-RU"/>
        </w:rPr>
        <w:t>Ингэснээр Монгол нүүрс төслийн зээлийн үлдэгдэл 42,261 сая төгрөг, Хөгжлийн банкны зээлийн хүүгийн үлдэгдэл 9,822.3 сая төгрөг, Хүний хөгжлийн сангийн өглөг 10,061.8 сая төгрөг болсон.</w:t>
      </w:r>
    </w:p>
    <w:p w:rsidR="009915F8" w:rsidRPr="009975E7" w:rsidRDefault="009915F8" w:rsidP="009915F8">
      <w:pPr>
        <w:numPr>
          <w:ilvl w:val="1"/>
          <w:numId w:val="0"/>
        </w:numPr>
        <w:ind w:firstLine="851"/>
        <w:jc w:val="both"/>
        <w:rPr>
          <w:rFonts w:eastAsia="Times New Roman"/>
          <w:i/>
          <w:iCs/>
          <w:color w:val="002060"/>
          <w:spacing w:val="15"/>
          <w:sz w:val="24"/>
          <w:szCs w:val="24"/>
          <w:lang w:val="mn-MN" w:eastAsia="ru-RU"/>
        </w:rPr>
      </w:pPr>
    </w:p>
    <w:p w:rsidR="009915F8" w:rsidRDefault="009915F8" w:rsidP="009915F8">
      <w:pPr>
        <w:keepNext/>
        <w:keepLines/>
        <w:ind w:left="720" w:hanging="360"/>
        <w:outlineLvl w:val="0"/>
        <w:rPr>
          <w:rFonts w:eastAsiaTheme="majorEastAsia"/>
          <w:b/>
          <w:bCs/>
          <w:caps/>
          <w:color w:val="002060"/>
          <w:sz w:val="24"/>
          <w:szCs w:val="24"/>
          <w:lang w:val="mn-MN" w:eastAsia="ru-RU"/>
        </w:rPr>
      </w:pPr>
      <w:bookmarkStart w:id="9" w:name="_Toc446319098"/>
      <w:r w:rsidRPr="009975E7">
        <w:rPr>
          <w:rFonts w:eastAsiaTheme="majorEastAsia"/>
          <w:b/>
          <w:bCs/>
          <w:caps/>
          <w:color w:val="002060"/>
          <w:sz w:val="24"/>
          <w:szCs w:val="24"/>
          <w:lang w:val="mn-MN" w:eastAsia="ru-RU"/>
        </w:rPr>
        <w:t>ДҮГНЭЛТ</w:t>
      </w:r>
      <w:bookmarkEnd w:id="9"/>
    </w:p>
    <w:p w:rsidR="009915F8" w:rsidRPr="009975E7" w:rsidRDefault="009915F8" w:rsidP="009915F8">
      <w:pPr>
        <w:keepNext/>
        <w:keepLines/>
        <w:ind w:left="720" w:hanging="360"/>
        <w:outlineLvl w:val="0"/>
        <w:rPr>
          <w:rFonts w:eastAsiaTheme="majorEastAsia"/>
          <w:b/>
          <w:bCs/>
          <w:caps/>
          <w:color w:val="002060"/>
          <w:sz w:val="24"/>
          <w:szCs w:val="24"/>
          <w:lang w:val="mn-MN" w:eastAsia="ru-RU"/>
        </w:rPr>
      </w:pPr>
    </w:p>
    <w:p w:rsidR="009915F8" w:rsidRPr="009975E7" w:rsidRDefault="009915F8" w:rsidP="009915F8">
      <w:pPr>
        <w:ind w:firstLine="851"/>
        <w:jc w:val="both"/>
        <w:rPr>
          <w:rFonts w:eastAsia="Times New Roman"/>
          <w:sz w:val="24"/>
          <w:szCs w:val="24"/>
          <w:lang w:val="mn-MN" w:eastAsia="ru-RU"/>
        </w:rPr>
      </w:pPr>
      <w:r w:rsidRPr="009975E7">
        <w:rPr>
          <w:rFonts w:eastAsia="Times New Roman"/>
          <w:sz w:val="24"/>
          <w:szCs w:val="24"/>
          <w:lang w:val="mn-MN" w:eastAsia="ru-RU"/>
        </w:rPr>
        <w:t>Үндсэн хэрэглэгчдийн ирүүлсэн захиалгын дагуу 3</w:t>
      </w:r>
      <w:r w:rsidRPr="009975E7">
        <w:rPr>
          <w:rFonts w:eastAsia="Times New Roman"/>
          <w:sz w:val="24"/>
          <w:szCs w:val="24"/>
          <w:lang w:eastAsia="ru-RU"/>
        </w:rPr>
        <w:t>,</w:t>
      </w:r>
      <w:r w:rsidRPr="009975E7">
        <w:rPr>
          <w:rFonts w:eastAsia="Times New Roman"/>
          <w:sz w:val="24"/>
          <w:szCs w:val="24"/>
          <w:lang w:val="mn-MN" w:eastAsia="ru-RU"/>
        </w:rPr>
        <w:t>867.5 мян.тн нүүрсийг олборлож, борлуулахаар төлөвлөсөн хэдий ч  төвийн бүсийн цахилгаан дулааны станцууд 180 мян.тн нүүрсийг захиалсан хэмжээнээс дутуу авснаар гаргалт борлуулалтын төлөвлөгөө 96 %, хөрс тээврийн нэг самосвал огт ажиллаагүй,  оператор компани 1 сая.м3 хөрс тээвэрлэхээс 150 мян.м3 хөрс дутуу тээвэрлэж, хөрс хуулалтын төлөвлөгөө 99 %, нийт уулын цулаар 102.4 %-ийн гүйцэтгэлтэй ажилласан.</w:t>
      </w:r>
    </w:p>
    <w:p w:rsidR="009915F8" w:rsidRDefault="009915F8" w:rsidP="009915F8">
      <w:pPr>
        <w:ind w:firstLine="851"/>
        <w:jc w:val="both"/>
        <w:rPr>
          <w:rFonts w:eastAsia="Times New Roman"/>
          <w:color w:val="000000"/>
          <w:sz w:val="24"/>
          <w:szCs w:val="24"/>
          <w:lang w:val="mn-MN" w:eastAsia="ru-RU"/>
        </w:rPr>
      </w:pPr>
    </w:p>
    <w:p w:rsidR="009915F8" w:rsidRPr="009975E7" w:rsidRDefault="009915F8" w:rsidP="009915F8">
      <w:pPr>
        <w:ind w:firstLine="851"/>
        <w:jc w:val="both"/>
        <w:rPr>
          <w:rFonts w:eastAsia="Times New Roman"/>
          <w:sz w:val="24"/>
          <w:szCs w:val="24"/>
          <w:lang w:val="mn-MN" w:eastAsia="ru-RU"/>
        </w:rPr>
      </w:pPr>
      <w:r w:rsidRPr="009975E7">
        <w:rPr>
          <w:rFonts w:eastAsia="Times New Roman"/>
          <w:color w:val="000000"/>
          <w:sz w:val="24"/>
          <w:szCs w:val="24"/>
          <w:lang w:val="mn-MN" w:eastAsia="ru-RU"/>
        </w:rPr>
        <w:lastRenderedPageBreak/>
        <w:t xml:space="preserve">ДЦС-уудын авлага, санхүүгийн хүндрэлээс шалтгаалж, бэлтгэн нийлүүлэгчидтэй байгуулсан худалдан авах гэрээний дагуу алданги хүлээх, сэлбэг материалын нийлүүлэлт зогсох, төлөвлөсөн засвар үйлчилгээг хугацаандаа хийж чадахгүй нөхцөл үүсч, улмаар технологийн горим зөрчигдөх, хөрс хуулалтын хоцрогдол нэмэгдэх, насжилт өндөртөй хуучин техник тоног төхөөрөмж ажиллуулах бэрхшээл тулгарч байна.  </w:t>
      </w:r>
    </w:p>
    <w:p w:rsidR="009915F8" w:rsidRDefault="009915F8" w:rsidP="009915F8">
      <w:pPr>
        <w:ind w:firstLine="851"/>
        <w:jc w:val="both"/>
        <w:rPr>
          <w:rFonts w:eastAsia="Times New Roman"/>
          <w:sz w:val="24"/>
          <w:szCs w:val="24"/>
          <w:lang w:val="mn-MN" w:eastAsia="ru-RU"/>
        </w:rPr>
      </w:pPr>
    </w:p>
    <w:p w:rsidR="009915F8" w:rsidRPr="009975E7" w:rsidRDefault="009915F8" w:rsidP="009915F8">
      <w:pPr>
        <w:ind w:firstLine="851"/>
        <w:jc w:val="both"/>
        <w:rPr>
          <w:rFonts w:eastAsia="Times New Roman"/>
          <w:sz w:val="24"/>
          <w:szCs w:val="24"/>
          <w:lang w:val="mn-MN" w:eastAsia="ru-RU"/>
        </w:rPr>
      </w:pPr>
      <w:r w:rsidRPr="009975E7">
        <w:rPr>
          <w:rFonts w:eastAsia="Times New Roman"/>
          <w:sz w:val="24"/>
          <w:szCs w:val="24"/>
          <w:lang w:val="mn-MN" w:eastAsia="ru-RU"/>
        </w:rPr>
        <w:t xml:space="preserve">Хэдийгээр техник технологи, санхүүгийн хүндрэлтэй байгаа ч Ордын нөөцийг шинэчлэн тогтоож АМХЭГ-аар баталгаажуулан улсын нөөцөд бүртгүүлсэн, 50 м сумтай алхагч экскаваторыг 70 м сумтай болгож шинэчлсэн, ЭКГ-8И экскаваторын удирдлагыг шинэчлэсэн, Технологийн авто машины хэсгийн байрыг карьерт шинээр барьж, ашиглалтад хүлээн авсан, Төв замын тоосжилтыг бууруулах байнгын усалгааны систем нэвтрүүлж эхэлсэн, нүүрс тээврийн 2 самосвалаар парк шинэчлэл хийсэн,  Эрчим хүчний станцуудад борлуулах 1 тонн нүүрсний үнийг 2000 төгрөгөөр нэмэгдүүлэн 27500 төгрөг болгосон, МУ-ын Засгийн газрын концессын гэрээгээр Багануур дүүрэгт баригдах </w:t>
      </w:r>
      <w:r w:rsidRPr="009975E7">
        <w:rPr>
          <w:rFonts w:eastAsia="Times New Roman"/>
          <w:sz w:val="24"/>
          <w:szCs w:val="24"/>
          <w:lang w:val="ru-RU" w:eastAsia="ru-RU"/>
        </w:rPr>
        <w:t>“</w:t>
      </w:r>
      <w:r w:rsidRPr="009975E7">
        <w:rPr>
          <w:rFonts w:eastAsia="Times New Roman"/>
          <w:sz w:val="24"/>
          <w:szCs w:val="24"/>
          <w:lang w:val="mn-MN" w:eastAsia="ru-RU"/>
        </w:rPr>
        <w:t>Багануур Повер</w:t>
      </w:r>
      <w:r w:rsidRPr="009975E7">
        <w:rPr>
          <w:rFonts w:eastAsia="Times New Roman"/>
          <w:sz w:val="24"/>
          <w:szCs w:val="24"/>
          <w:lang w:val="ru-RU" w:eastAsia="ru-RU"/>
        </w:rPr>
        <w:t>”</w:t>
      </w:r>
      <w:r w:rsidRPr="009975E7">
        <w:rPr>
          <w:rFonts w:eastAsia="Times New Roman"/>
          <w:sz w:val="24"/>
          <w:szCs w:val="24"/>
          <w:lang w:val="mn-MN" w:eastAsia="ru-RU"/>
        </w:rPr>
        <w:t xml:space="preserve"> ДЦС-тай нүүрс нийлүүлэх гэрээний ажил болон нэмэлт хувьцаа гаргах бэлтгэл ажлыг эхлүүлсэн зэрэг  бодлогын чанартай ажлуудыг хийж гүйцэтгэсэн байна. Үүнээс гадна сүүлийн 2 жилийн хугацаанд аваар ослыг тэглэж чадлаа.</w:t>
      </w:r>
    </w:p>
    <w:p w:rsidR="009915F8" w:rsidRDefault="009915F8" w:rsidP="009915F8">
      <w:pPr>
        <w:ind w:firstLine="851"/>
        <w:jc w:val="both"/>
        <w:rPr>
          <w:rFonts w:eastAsia="Times New Roman"/>
          <w:color w:val="000000"/>
          <w:sz w:val="24"/>
          <w:szCs w:val="24"/>
          <w:lang w:val="mn-MN" w:eastAsia="ru-RU"/>
        </w:rPr>
      </w:pPr>
    </w:p>
    <w:p w:rsidR="009915F8" w:rsidRPr="009975E7" w:rsidRDefault="009915F8" w:rsidP="009915F8">
      <w:pPr>
        <w:ind w:firstLine="851"/>
        <w:jc w:val="both"/>
        <w:rPr>
          <w:rFonts w:eastAsia="Times New Roman"/>
          <w:color w:val="000000"/>
          <w:sz w:val="24"/>
          <w:szCs w:val="24"/>
          <w:lang w:val="mn-MN" w:eastAsia="ru-RU"/>
        </w:rPr>
      </w:pPr>
      <w:r w:rsidRPr="009975E7">
        <w:rPr>
          <w:rFonts w:eastAsia="Times New Roman"/>
          <w:color w:val="000000"/>
          <w:sz w:val="24"/>
          <w:szCs w:val="24"/>
          <w:lang w:val="mn-MN" w:eastAsia="ru-RU"/>
        </w:rPr>
        <w:t>Багануурын уурхайн өнөөгийн нөхцөлд хүндрэл бэрхшээл нийлээдгүй байгаа ч бид ойрын 5-10 жилд нүүрс олборлох хүчин чадлаа 10 сая тоннд хүргэх их хөгжлийн гараанд ирээд байна.</w:t>
      </w:r>
    </w:p>
    <w:p w:rsidR="009915F8" w:rsidRPr="009975E7" w:rsidRDefault="009915F8" w:rsidP="009915F8">
      <w:pPr>
        <w:ind w:firstLine="851"/>
        <w:jc w:val="both"/>
        <w:rPr>
          <w:rFonts w:eastAsia="Times New Roman"/>
          <w:color w:val="000000"/>
          <w:sz w:val="24"/>
          <w:szCs w:val="24"/>
          <w:lang w:val="mn-MN" w:eastAsia="ru-RU"/>
        </w:rPr>
      </w:pPr>
    </w:p>
    <w:p w:rsidR="009915F8" w:rsidRPr="009975E7" w:rsidRDefault="009915F8" w:rsidP="009915F8">
      <w:pPr>
        <w:ind w:firstLine="851"/>
        <w:jc w:val="both"/>
        <w:rPr>
          <w:rFonts w:ascii="Times New Roman" w:eastAsia="Times New Roman" w:hAnsi="Times New Roman" w:cs="Times New Roman"/>
          <w:color w:val="000000"/>
          <w:lang w:val="mn-MN" w:eastAsia="ru-RU"/>
        </w:rPr>
      </w:pPr>
    </w:p>
    <w:p w:rsidR="009915F8" w:rsidRPr="009975E7" w:rsidRDefault="009915F8" w:rsidP="009915F8">
      <w:pPr>
        <w:ind w:firstLine="851"/>
        <w:jc w:val="center"/>
        <w:rPr>
          <w:rFonts w:eastAsia="Times New Roman"/>
          <w:b/>
          <w:color w:val="000000"/>
          <w:sz w:val="24"/>
          <w:szCs w:val="24"/>
          <w:lang w:val="mn-MN" w:eastAsia="ru-RU"/>
        </w:rPr>
      </w:pPr>
      <w:r w:rsidRPr="009975E7">
        <w:rPr>
          <w:rFonts w:eastAsia="Times New Roman"/>
          <w:b/>
          <w:color w:val="000000"/>
          <w:sz w:val="24"/>
          <w:szCs w:val="24"/>
          <w:lang w:val="mn-MN" w:eastAsia="ru-RU"/>
        </w:rPr>
        <w:t>ТӨЛӨӨЛӨН УДИРДАХ ЗӨВЛӨЛ</w:t>
      </w:r>
    </w:p>
    <w:p w:rsidR="00030F1E" w:rsidRDefault="00030F1E">
      <w:bookmarkStart w:id="10" w:name="_GoBack"/>
      <w:bookmarkEnd w:id="10"/>
    </w:p>
    <w:sectPr w:rsidR="00030F1E" w:rsidSect="008D3636">
      <w:pgSz w:w="11907" w:h="16839" w:code="9"/>
      <w:pgMar w:top="1134" w:right="851"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altName w:val="Arial"/>
    <w:charset w:val="00"/>
    <w:family w:val="swiss"/>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D6CAD"/>
    <w:multiLevelType w:val="hybridMultilevel"/>
    <w:tmpl w:val="E81639CE"/>
    <w:lvl w:ilvl="0" w:tplc="CD48F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64F2C"/>
    <w:multiLevelType w:val="multilevel"/>
    <w:tmpl w:val="5F5A788A"/>
    <w:lvl w:ilvl="0">
      <w:start w:val="1"/>
      <w:numFmt w:val="decimal"/>
      <w:pStyle w:val="Heading1"/>
      <w:lvlText w:val="%1."/>
      <w:lvlJc w:val="left"/>
      <w:pPr>
        <w:ind w:left="720" w:hanging="360"/>
      </w:pPr>
      <w:rPr>
        <w:rFonts w:hint="default"/>
      </w:rPr>
    </w:lvl>
    <w:lvl w:ilvl="1">
      <w:start w:val="2"/>
      <w:numFmt w:val="decimal"/>
      <w:isLgl/>
      <w:lvlText w:val="%1.%2"/>
      <w:lvlJc w:val="left"/>
      <w:pPr>
        <w:ind w:left="644" w:hanging="360"/>
      </w:pPr>
      <w:rPr>
        <w:rFonts w:eastAsia="Times New Roman" w:cs="Times New Roman" w:hint="default"/>
        <w:i w:val="0"/>
        <w:color w:val="auto"/>
      </w:rPr>
    </w:lvl>
    <w:lvl w:ilvl="2">
      <w:start w:val="1"/>
      <w:numFmt w:val="decimal"/>
      <w:isLgl/>
      <w:lvlText w:val="%1.%2.%3"/>
      <w:lvlJc w:val="left"/>
      <w:pPr>
        <w:ind w:left="1080" w:hanging="720"/>
      </w:pPr>
      <w:rPr>
        <w:rFonts w:eastAsia="Times New Roman" w:cs="Times New Roman" w:hint="default"/>
        <w:i w:val="0"/>
        <w:color w:val="auto"/>
      </w:rPr>
    </w:lvl>
    <w:lvl w:ilvl="3">
      <w:start w:val="1"/>
      <w:numFmt w:val="decimal"/>
      <w:isLgl/>
      <w:lvlText w:val="%1.%2.%3.%4"/>
      <w:lvlJc w:val="left"/>
      <w:pPr>
        <w:ind w:left="1440" w:hanging="1080"/>
      </w:pPr>
      <w:rPr>
        <w:rFonts w:eastAsia="Times New Roman" w:cs="Times New Roman" w:hint="default"/>
        <w:i w:val="0"/>
        <w:color w:val="auto"/>
      </w:rPr>
    </w:lvl>
    <w:lvl w:ilvl="4">
      <w:start w:val="1"/>
      <w:numFmt w:val="decimal"/>
      <w:isLgl/>
      <w:lvlText w:val="%1.%2.%3.%4.%5"/>
      <w:lvlJc w:val="left"/>
      <w:pPr>
        <w:ind w:left="1440" w:hanging="1080"/>
      </w:pPr>
      <w:rPr>
        <w:rFonts w:eastAsia="Times New Roman" w:cs="Times New Roman" w:hint="default"/>
        <w:i w:val="0"/>
        <w:color w:val="auto"/>
      </w:rPr>
    </w:lvl>
    <w:lvl w:ilvl="5">
      <w:start w:val="1"/>
      <w:numFmt w:val="decimal"/>
      <w:isLgl/>
      <w:lvlText w:val="%1.%2.%3.%4.%5.%6"/>
      <w:lvlJc w:val="left"/>
      <w:pPr>
        <w:ind w:left="1800" w:hanging="1440"/>
      </w:pPr>
      <w:rPr>
        <w:rFonts w:eastAsia="Times New Roman" w:cs="Times New Roman" w:hint="default"/>
        <w:i w:val="0"/>
        <w:color w:val="auto"/>
      </w:rPr>
    </w:lvl>
    <w:lvl w:ilvl="6">
      <w:start w:val="1"/>
      <w:numFmt w:val="decimal"/>
      <w:isLgl/>
      <w:lvlText w:val="%1.%2.%3.%4.%5.%6.%7"/>
      <w:lvlJc w:val="left"/>
      <w:pPr>
        <w:ind w:left="1800" w:hanging="1440"/>
      </w:pPr>
      <w:rPr>
        <w:rFonts w:eastAsia="Times New Roman" w:cs="Times New Roman" w:hint="default"/>
        <w:i w:val="0"/>
        <w:color w:val="auto"/>
      </w:rPr>
    </w:lvl>
    <w:lvl w:ilvl="7">
      <w:start w:val="1"/>
      <w:numFmt w:val="decimal"/>
      <w:isLgl/>
      <w:lvlText w:val="%1.%2.%3.%4.%5.%6.%7.%8"/>
      <w:lvlJc w:val="left"/>
      <w:pPr>
        <w:ind w:left="2160" w:hanging="1800"/>
      </w:pPr>
      <w:rPr>
        <w:rFonts w:eastAsia="Times New Roman" w:cs="Times New Roman" w:hint="default"/>
        <w:i w:val="0"/>
        <w:color w:val="auto"/>
      </w:rPr>
    </w:lvl>
    <w:lvl w:ilvl="8">
      <w:start w:val="1"/>
      <w:numFmt w:val="decimal"/>
      <w:isLgl/>
      <w:lvlText w:val="%1.%2.%3.%4.%5.%6.%7.%8.%9"/>
      <w:lvlJc w:val="left"/>
      <w:pPr>
        <w:ind w:left="2520" w:hanging="2160"/>
      </w:pPr>
      <w:rPr>
        <w:rFonts w:eastAsia="Times New Roman" w:cs="Times New Roman" w:hint="default"/>
        <w:i w:val="0"/>
        <w:color w:val="auto"/>
      </w:rPr>
    </w:lvl>
  </w:abstractNum>
  <w:num w:numId="1">
    <w:abstractNumId w:val="1"/>
  </w:num>
  <w:num w:numId="2">
    <w:abstractNumId w:val="0"/>
  </w:num>
  <w:num w:numId="3">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F8"/>
    <w:rsid w:val="00030F1E"/>
    <w:rsid w:val="004F2B27"/>
    <w:rsid w:val="008D3636"/>
    <w:rsid w:val="009915F8"/>
    <w:rsid w:val="00ED1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B2C2-1178-4FB0-A3AC-67DD2CB2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F8"/>
    <w:pPr>
      <w:spacing w:after="0" w:line="240" w:lineRule="auto"/>
    </w:pPr>
    <w:rPr>
      <w:rFonts w:eastAsiaTheme="minorEastAsia" w:cs="Arial"/>
      <w:sz w:val="22"/>
    </w:rPr>
  </w:style>
  <w:style w:type="paragraph" w:styleId="Heading1">
    <w:name w:val="heading 1"/>
    <w:basedOn w:val="Normal"/>
    <w:next w:val="Normal"/>
    <w:link w:val="Heading1Char"/>
    <w:autoRedefine/>
    <w:uiPriority w:val="9"/>
    <w:qFormat/>
    <w:rsid w:val="009915F8"/>
    <w:pPr>
      <w:keepNext/>
      <w:keepLines/>
      <w:numPr>
        <w:numId w:val="1"/>
      </w:numPr>
      <w:outlineLvl w:val="0"/>
    </w:pPr>
    <w:rPr>
      <w:rFonts w:eastAsiaTheme="majorEastAsia" w:cstheme="majorBidi"/>
      <w:b/>
      <w:bCs/>
      <w:caps/>
      <w:color w:val="002060"/>
      <w:sz w:val="24"/>
      <w:szCs w:val="28"/>
      <w:lang w:val="mn-MN"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5F8"/>
    <w:rPr>
      <w:rFonts w:eastAsiaTheme="majorEastAsia" w:cstheme="majorBidi"/>
      <w:b/>
      <w:bCs/>
      <w:caps/>
      <w:color w:val="002060"/>
      <w:szCs w:val="28"/>
      <w:lang w:val="mn-MN" w:eastAsia="ru-RU"/>
    </w:rPr>
  </w:style>
  <w:style w:type="paragraph" w:styleId="ListParagraph">
    <w:name w:val="List Paragraph"/>
    <w:basedOn w:val="Normal"/>
    <w:link w:val="ListParagraphChar"/>
    <w:uiPriority w:val="34"/>
    <w:qFormat/>
    <w:rsid w:val="009915F8"/>
    <w:pPr>
      <w:ind w:left="720"/>
      <w:contextualSpacing/>
    </w:pPr>
    <w:rPr>
      <w:rFonts w:ascii="Arial Mon" w:eastAsia="Times New Roman" w:hAnsi="Arial Mon" w:cs="Times New Roman"/>
      <w:sz w:val="24"/>
      <w:szCs w:val="24"/>
    </w:rPr>
  </w:style>
  <w:style w:type="character" w:customStyle="1" w:styleId="ListParagraphChar">
    <w:name w:val="List Paragraph Char"/>
    <w:link w:val="ListParagraph"/>
    <w:uiPriority w:val="34"/>
    <w:locked/>
    <w:rsid w:val="009915F8"/>
    <w:rPr>
      <w:rFonts w:ascii="Arial Mon" w:eastAsia="Times New Roman" w:hAnsi="Arial Mo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Gnbtr bdg</dc:creator>
  <cp:keywords/>
  <dc:description/>
  <cp:lastModifiedBy>Gnbtr bdg</cp:lastModifiedBy>
  <cp:revision>1</cp:revision>
  <dcterms:created xsi:type="dcterms:W3CDTF">2016-04-21T02:56:00Z</dcterms:created>
  <dcterms:modified xsi:type="dcterms:W3CDTF">2016-04-21T02:57:00Z</dcterms:modified>
</cp:coreProperties>
</file>