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0C3" w:rsidRPr="001772A3" w:rsidRDefault="00CE30C3" w:rsidP="00CE30C3">
      <w:pPr>
        <w:spacing w:line="276" w:lineRule="auto"/>
        <w:jc w:val="center"/>
        <w:rPr>
          <w:rFonts w:eastAsiaTheme="minorHAnsi"/>
          <w:b/>
          <w:lang w:val="mn-MN"/>
        </w:rPr>
      </w:pPr>
      <w:r w:rsidRPr="001772A3">
        <w:rPr>
          <w:rFonts w:eastAsiaTheme="minorHAnsi"/>
          <w:b/>
        </w:rPr>
        <w:t>“</w:t>
      </w:r>
      <w:r w:rsidRPr="001772A3">
        <w:rPr>
          <w:rFonts w:eastAsiaTheme="minorHAnsi"/>
          <w:b/>
          <w:lang w:val="mn-MN"/>
        </w:rPr>
        <w:t>ШИВЭЭ-ОВОО</w:t>
      </w:r>
      <w:r w:rsidRPr="001772A3">
        <w:rPr>
          <w:rFonts w:eastAsiaTheme="minorHAnsi"/>
          <w:b/>
        </w:rPr>
        <w:t>”</w:t>
      </w:r>
      <w:r w:rsidR="00F50E59">
        <w:rPr>
          <w:rFonts w:eastAsiaTheme="minorHAnsi"/>
          <w:b/>
          <w:lang w:val="mn-MN"/>
        </w:rPr>
        <w:t xml:space="preserve"> ХК-ИЙН ГҮЙЦЭТГЭХ ЗАХИРЛЫ</w:t>
      </w:r>
      <w:bookmarkStart w:id="0" w:name="_GoBack"/>
      <w:bookmarkEnd w:id="0"/>
      <w:r w:rsidRPr="001772A3">
        <w:rPr>
          <w:rFonts w:eastAsiaTheme="minorHAnsi"/>
          <w:b/>
          <w:lang w:val="mn-MN"/>
        </w:rPr>
        <w:t xml:space="preserve"> 2017 ОНЫ ҮЙЛ АЖИЛЛАГААНЫ ТАЙЛАН</w:t>
      </w:r>
    </w:p>
    <w:p w:rsidR="00CE30C3" w:rsidRPr="001772A3" w:rsidRDefault="00CE30C3" w:rsidP="00CE30C3">
      <w:pPr>
        <w:spacing w:line="276" w:lineRule="auto"/>
        <w:jc w:val="center"/>
        <w:rPr>
          <w:rFonts w:eastAsiaTheme="minorHAnsi"/>
          <w:b/>
          <w:lang w:val="mn-MN"/>
        </w:rPr>
      </w:pPr>
    </w:p>
    <w:p w:rsidR="00CE30C3" w:rsidRPr="001772A3" w:rsidRDefault="00CE30C3" w:rsidP="00CE30C3">
      <w:pPr>
        <w:spacing w:after="240" w:line="276" w:lineRule="auto"/>
        <w:ind w:firstLine="720"/>
        <w:jc w:val="center"/>
        <w:rPr>
          <w:rFonts w:eastAsiaTheme="minorHAnsi"/>
          <w:b/>
          <w:i/>
          <w:lang w:val="mn-MN"/>
        </w:rPr>
      </w:pPr>
      <w:r w:rsidRPr="001772A3">
        <w:rPr>
          <w:rFonts w:eastAsiaTheme="minorHAnsi"/>
          <w:b/>
          <w:i/>
          <w:lang w:val="mn-MN"/>
        </w:rPr>
        <w:t>НЭГ.УУЛЫН ҮЙЛДВЭРЛЭЛ, ТЕХНОЛОГИЙН ТАЛААР</w:t>
      </w:r>
    </w:p>
    <w:p w:rsidR="00CE30C3" w:rsidRPr="001772A3" w:rsidRDefault="00CE30C3" w:rsidP="00CE30C3">
      <w:pPr>
        <w:spacing w:line="276" w:lineRule="auto"/>
        <w:ind w:firstLine="720"/>
        <w:jc w:val="both"/>
        <w:rPr>
          <w:rFonts w:eastAsia="Times New Roman"/>
          <w:lang w:val="mn-MN" w:eastAsia="ru-RU"/>
        </w:rPr>
      </w:pPr>
      <w:r w:rsidRPr="001772A3">
        <w:rPr>
          <w:rFonts w:eastAsia="Times New Roman"/>
          <w:lang w:val="mn-MN" w:eastAsia="ru-RU"/>
        </w:rPr>
        <w:t>2017 онд 1,950.0 мян.тн нүүрс олборлон борлуулахаар төлөвлөснөөс 2,037.0 мян.тн нүүрс олборлож төлөвлөгөөгөө 104.5%, нүүрс борлуулалтыг 2.020.3 тн буюу 103,6 хувиар давуулан  биелүүлж ажилласан.</w:t>
      </w:r>
    </w:p>
    <w:p w:rsidR="00CE30C3" w:rsidRPr="001772A3" w:rsidRDefault="00CE30C3" w:rsidP="00CE30C3">
      <w:pPr>
        <w:spacing w:after="200" w:line="276" w:lineRule="auto"/>
        <w:jc w:val="center"/>
        <w:rPr>
          <w:rFonts w:eastAsiaTheme="minorHAnsi"/>
          <w:b/>
          <w:lang w:val="mn-MN"/>
        </w:rPr>
      </w:pPr>
      <w:r w:rsidRPr="001772A3">
        <w:rPr>
          <w:rFonts w:eastAsiaTheme="minorHAnsi"/>
          <w:b/>
          <w:lang w:val="mn-MN"/>
        </w:rPr>
        <w:t>Уулын ажлын төлөвлөгөө, гүйцэтгэл</w:t>
      </w:r>
    </w:p>
    <w:p w:rsidR="00CE30C3" w:rsidRPr="001772A3" w:rsidRDefault="00CE30C3" w:rsidP="00CE30C3">
      <w:pPr>
        <w:spacing w:line="276" w:lineRule="auto"/>
        <w:jc w:val="both"/>
        <w:rPr>
          <w:rFonts w:eastAsia="Times New Roman"/>
          <w:lang w:val="mn-MN" w:eastAsia="ru-RU"/>
        </w:rPr>
      </w:pPr>
      <w:r w:rsidRPr="001772A3">
        <w:rPr>
          <w:rFonts w:eastAsiaTheme="minorHAnsi"/>
          <w:noProof/>
        </w:rPr>
        <w:drawing>
          <wp:inline distT="0" distB="0" distL="0" distR="0" wp14:anchorId="4413DA9A" wp14:editId="48B627A7">
            <wp:extent cx="6300470" cy="194607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0470" cy="1946078"/>
                    </a:xfrm>
                    <a:prstGeom prst="rect">
                      <a:avLst/>
                    </a:prstGeom>
                    <a:noFill/>
                    <a:ln>
                      <a:noFill/>
                    </a:ln>
                  </pic:spPr>
                </pic:pic>
              </a:graphicData>
            </a:graphic>
          </wp:inline>
        </w:drawing>
      </w:r>
      <w:r w:rsidRPr="001772A3">
        <w:rPr>
          <w:rFonts w:eastAsia="Times New Roman"/>
          <w:lang w:val="mn-MN" w:eastAsia="ru-RU"/>
        </w:rPr>
        <w:tab/>
      </w:r>
    </w:p>
    <w:p w:rsidR="00CE30C3" w:rsidRPr="001772A3" w:rsidRDefault="00CE30C3" w:rsidP="00CE30C3">
      <w:pPr>
        <w:spacing w:line="276" w:lineRule="auto"/>
        <w:ind w:firstLine="720"/>
        <w:jc w:val="both"/>
        <w:rPr>
          <w:rFonts w:eastAsia="Times New Roman"/>
          <w:noProof/>
          <w:lang w:val="mn-MN" w:eastAsia="ru-RU"/>
        </w:rPr>
      </w:pPr>
      <w:r w:rsidRPr="001772A3">
        <w:rPr>
          <w:rFonts w:eastAsia="Times New Roman"/>
          <w:lang w:val="mn-MN" w:eastAsia="ru-RU"/>
        </w:rPr>
        <w:t>Нийт уулын цулын 54.7 хувийг хөрс хуулалт, 24.5 хувийг дахин шидэлт, 15.5 хувийг нүүрс олборлолт, борлуулалт эзэлж байна</w:t>
      </w:r>
      <w:r w:rsidRPr="001772A3">
        <w:rPr>
          <w:rFonts w:eastAsia="Times New Roman"/>
          <w:noProof/>
          <w:lang w:val="mn-MN" w:eastAsia="ru-RU"/>
        </w:rPr>
        <w:t xml:space="preserve">. </w:t>
      </w:r>
    </w:p>
    <w:p w:rsidR="00CE30C3" w:rsidRPr="001772A3" w:rsidRDefault="00CE30C3" w:rsidP="00CE30C3">
      <w:pPr>
        <w:spacing w:line="276" w:lineRule="auto"/>
        <w:ind w:firstLine="720"/>
        <w:jc w:val="both"/>
        <w:rPr>
          <w:rFonts w:eastAsia="Times New Roman"/>
          <w:lang w:val="mn-MN" w:eastAsia="ru-RU"/>
        </w:rPr>
      </w:pPr>
      <w:r w:rsidRPr="001772A3">
        <w:rPr>
          <w:rFonts w:eastAsia="Calibri"/>
          <w:noProof/>
          <w:lang w:val="mn-MN" w:eastAsia="ru-RU"/>
        </w:rPr>
        <w:t>Сар бүр 1</w:t>
      </w:r>
      <w:r w:rsidRPr="001772A3">
        <w:rPr>
          <w:rFonts w:eastAsia="Calibri"/>
          <w:lang w:val="mn-MN" w:eastAsia="ru-RU"/>
        </w:rPr>
        <w:t xml:space="preserve">00.0 мян.тн нүүрсний шилжих нөөцтэй байхаар зорилго тавин ажилласнаас </w:t>
      </w:r>
      <w:r w:rsidRPr="001772A3">
        <w:rPr>
          <w:rFonts w:eastAsia="Times New Roman"/>
          <w:lang w:val="mn-MN" w:eastAsia="ru-RU"/>
        </w:rPr>
        <w:t xml:space="preserve">2018 оны эхэнд агуулахад 44.0 мян.тн, карьерт 426.0 мян тн авахад бэлэн нүүрсний нөөцтэй шилжсэн. </w:t>
      </w:r>
    </w:p>
    <w:p w:rsidR="00CE30C3" w:rsidRPr="001772A3" w:rsidRDefault="00CE30C3" w:rsidP="00CE30C3">
      <w:pPr>
        <w:spacing w:line="276" w:lineRule="auto"/>
        <w:ind w:firstLine="720"/>
        <w:jc w:val="both"/>
        <w:rPr>
          <w:rFonts w:eastAsia="Times New Roman"/>
          <w:lang w:val="mn-MN" w:eastAsia="ru-RU"/>
        </w:rPr>
      </w:pPr>
      <w:r w:rsidRPr="001772A3">
        <w:rPr>
          <w:rFonts w:eastAsia="Times New Roman"/>
          <w:lang w:val="mn-MN" w:eastAsia="ru-RU"/>
        </w:rPr>
        <w:t>2017 онд хөрсний төлөвлөгөө тасарсан шалтгаан:</w:t>
      </w:r>
    </w:p>
    <w:p w:rsidR="00CE30C3" w:rsidRPr="001772A3" w:rsidRDefault="00CE30C3" w:rsidP="00CE30C3">
      <w:pPr>
        <w:numPr>
          <w:ilvl w:val="0"/>
          <w:numId w:val="3"/>
        </w:numPr>
        <w:spacing w:after="240" w:line="276" w:lineRule="auto"/>
        <w:contextualSpacing/>
        <w:jc w:val="both"/>
        <w:rPr>
          <w:rFonts w:eastAsia="Times New Roman"/>
          <w:lang w:val="mn-MN" w:eastAsia="ru-RU"/>
        </w:rPr>
      </w:pPr>
      <w:r w:rsidRPr="001772A3">
        <w:rPr>
          <w:rFonts w:eastAsia="Times New Roman"/>
          <w:lang w:val="mn-MN" w:eastAsia="ru-RU"/>
        </w:rPr>
        <w:t>Тэсэлгээний хэрэгсэл нийлүүлэлт удаашран тоног төхөөрөмжүүд ажлын фронтгүй 1,153 цаг буюу 350.0 мян м</w:t>
      </w:r>
      <w:r w:rsidRPr="001772A3">
        <w:rPr>
          <w:rFonts w:eastAsia="Times New Roman"/>
          <w:vertAlign w:val="superscript"/>
          <w:lang w:val="mn-MN" w:eastAsia="ru-RU"/>
        </w:rPr>
        <w:t>3</w:t>
      </w:r>
    </w:p>
    <w:p w:rsidR="00CE30C3" w:rsidRPr="001772A3" w:rsidRDefault="00CE30C3" w:rsidP="00CE30C3">
      <w:pPr>
        <w:numPr>
          <w:ilvl w:val="0"/>
          <w:numId w:val="3"/>
        </w:numPr>
        <w:spacing w:after="240" w:line="276" w:lineRule="auto"/>
        <w:contextualSpacing/>
        <w:jc w:val="both"/>
        <w:rPr>
          <w:rFonts w:eastAsia="Times New Roman"/>
          <w:lang w:val="mn-MN" w:eastAsia="ru-RU"/>
        </w:rPr>
      </w:pPr>
      <w:r w:rsidRPr="001772A3">
        <w:rPr>
          <w:rFonts w:eastAsia="Times New Roman"/>
          <w:lang w:val="mn-MN" w:eastAsia="ru-RU"/>
        </w:rPr>
        <w:t xml:space="preserve"> Технологийн автомашины эвдрэл саатал ихэсч тээврийн хэрэгслийн хүрэлцээ муу байснаас 1,772 цаг буюу 500.0 мян м</w:t>
      </w:r>
      <w:r w:rsidRPr="001772A3">
        <w:rPr>
          <w:rFonts w:eastAsia="Times New Roman"/>
          <w:vertAlign w:val="superscript"/>
          <w:lang w:val="mn-MN" w:eastAsia="ru-RU"/>
        </w:rPr>
        <w:t>3</w:t>
      </w:r>
      <w:r w:rsidRPr="001772A3">
        <w:rPr>
          <w:rFonts w:eastAsia="Times New Roman"/>
          <w:lang w:val="mn-MN" w:eastAsia="ru-RU"/>
        </w:rPr>
        <w:t xml:space="preserve">, хөрөнгө санхүүгийн байдлаас шалтгаалан сэлбэг худалдан авалт, нийлүүлэлт удаашран </w:t>
      </w:r>
      <w:r w:rsidRPr="001772A3">
        <w:rPr>
          <w:rFonts w:eastAsia="Times New Roman"/>
          <w:color w:val="FF0000"/>
          <w:lang w:val="mn-MN" w:eastAsia="ru-RU"/>
        </w:rPr>
        <w:t xml:space="preserve"> </w:t>
      </w:r>
      <w:r w:rsidRPr="001772A3">
        <w:rPr>
          <w:rFonts w:eastAsia="Times New Roman"/>
          <w:lang w:val="mn-MN" w:eastAsia="ru-RU"/>
        </w:rPr>
        <w:t>7,183 цаг зогсож 1,400.0 мян м</w:t>
      </w:r>
      <w:r w:rsidRPr="001772A3">
        <w:rPr>
          <w:rFonts w:eastAsia="Times New Roman"/>
          <w:vertAlign w:val="superscript"/>
          <w:lang w:val="mn-MN" w:eastAsia="ru-RU"/>
        </w:rPr>
        <w:t>3</w:t>
      </w:r>
      <w:r w:rsidRPr="001772A3">
        <w:rPr>
          <w:rFonts w:eastAsia="Times New Roman"/>
          <w:lang w:val="mn-MN" w:eastAsia="ru-RU"/>
        </w:rPr>
        <w:t xml:space="preserve"> хөрс хуулах боломжуудыг тус тус алдснаас хөрс хуулалтын төлөвлөгөө 1,026.0 мянган шоометрээр тасарсан. </w:t>
      </w:r>
    </w:p>
    <w:p w:rsidR="00CE30C3" w:rsidRPr="001772A3" w:rsidRDefault="00CE30C3" w:rsidP="00CE30C3">
      <w:pPr>
        <w:numPr>
          <w:ilvl w:val="0"/>
          <w:numId w:val="3"/>
        </w:numPr>
        <w:spacing w:after="240" w:line="276" w:lineRule="auto"/>
        <w:contextualSpacing/>
        <w:jc w:val="both"/>
        <w:rPr>
          <w:rFonts w:eastAsia="Times New Roman"/>
          <w:lang w:val="mn-MN" w:eastAsia="ru-RU"/>
        </w:rPr>
      </w:pPr>
      <w:r w:rsidRPr="001772A3">
        <w:rPr>
          <w:rFonts w:eastAsia="Times New Roman"/>
          <w:lang w:val="mn-MN" w:eastAsia="ru-RU"/>
        </w:rPr>
        <w:t xml:space="preserve">Төлөвлөгөөгөөр ээлж тутамд 22 автосамосвал гарах төлөвлөгөөтэй байснаас 1 ээлжинд 12-14 автосамосвал буюу ТАК 0.57 %-тай гарч байсан нь хөрс хуулалтын ажилд муугаар нөлөөлсөн.  </w:t>
      </w:r>
    </w:p>
    <w:p w:rsidR="00CE30C3" w:rsidRPr="001772A3" w:rsidRDefault="00CE30C3" w:rsidP="00CE30C3">
      <w:pPr>
        <w:spacing w:line="276" w:lineRule="auto"/>
        <w:jc w:val="both"/>
        <w:rPr>
          <w:rFonts w:eastAsia="Times New Roman"/>
          <w:lang w:val="mn-MN" w:eastAsia="ru-RU"/>
        </w:rPr>
      </w:pPr>
    </w:p>
    <w:p w:rsidR="00CE30C3" w:rsidRPr="001772A3" w:rsidRDefault="00CE30C3" w:rsidP="00CE30C3">
      <w:pPr>
        <w:spacing w:after="120" w:line="276" w:lineRule="auto"/>
        <w:ind w:firstLine="720"/>
        <w:jc w:val="both"/>
        <w:rPr>
          <w:rFonts w:eastAsiaTheme="minorHAnsi"/>
          <w:i/>
          <w:lang w:val="mn-MN"/>
        </w:rPr>
      </w:pPr>
      <w:r w:rsidRPr="001772A3">
        <w:rPr>
          <w:rFonts w:eastAsiaTheme="minorHAnsi"/>
          <w:i/>
          <w:lang w:val="mn-MN"/>
        </w:rPr>
        <w:t>ГҮНИЙ УСНЫ ШҮҮРҮҮЛЭЛТИЙН БАЙДАЛ</w:t>
      </w:r>
    </w:p>
    <w:p w:rsidR="00CE30C3" w:rsidRPr="001772A3" w:rsidRDefault="00CE30C3" w:rsidP="00CE30C3">
      <w:pPr>
        <w:spacing w:after="120" w:line="276" w:lineRule="auto"/>
        <w:ind w:firstLine="720"/>
        <w:jc w:val="both"/>
        <w:rPr>
          <w:rFonts w:eastAsiaTheme="minorHAnsi"/>
          <w:lang w:val="mn-MN"/>
        </w:rPr>
      </w:pPr>
      <w:r w:rsidRPr="001772A3">
        <w:rPr>
          <w:rFonts w:eastAsiaTheme="minorHAnsi"/>
          <w:lang w:val="mn-MN"/>
        </w:rPr>
        <w:t xml:space="preserve">Уурхайн үйл ажиллагааг саадгүй явуулахын тулд гүний усны түвшинг нүүрсний давхаргаас доош барих шаардлагатай бөгөөд уурхайн гүн гүнзгийрэх тусам гүний усыг зайлуулахад хүндрэл гарч байна. </w:t>
      </w:r>
    </w:p>
    <w:p w:rsidR="00CE30C3" w:rsidRPr="001772A3" w:rsidRDefault="00CE30C3" w:rsidP="00CE30C3">
      <w:pPr>
        <w:spacing w:after="120" w:line="276" w:lineRule="auto"/>
        <w:ind w:firstLine="720"/>
        <w:jc w:val="both"/>
        <w:rPr>
          <w:rFonts w:eastAsiaTheme="minorHAnsi"/>
          <w:lang w:val="mn-MN"/>
        </w:rPr>
      </w:pPr>
      <w:r w:rsidRPr="001772A3">
        <w:rPr>
          <w:rFonts w:eastAsiaTheme="minorHAnsi"/>
          <w:lang w:val="mn-MN"/>
        </w:rPr>
        <w:lastRenderedPageBreak/>
        <w:t xml:space="preserve">2017 онд ус шүүрүүлэх 20 худаг бүхий Д шугамыг барьж байгуулах төлөвлөгөөт зорилт тавьж ажиллан 100% гүйцэтгэсэн. </w:t>
      </w:r>
    </w:p>
    <w:p w:rsidR="00CE30C3" w:rsidRPr="001772A3" w:rsidRDefault="00CE30C3" w:rsidP="00CE30C3">
      <w:pPr>
        <w:spacing w:after="120" w:line="276" w:lineRule="auto"/>
        <w:ind w:firstLine="720"/>
        <w:jc w:val="both"/>
        <w:rPr>
          <w:rFonts w:eastAsiaTheme="minorHAnsi"/>
          <w:lang w:val="mn-MN"/>
        </w:rPr>
      </w:pPr>
      <w:r w:rsidRPr="001772A3">
        <w:rPr>
          <w:rFonts w:eastAsiaTheme="minorHAnsi"/>
          <w:lang w:val="mn-MN"/>
        </w:rPr>
        <w:t>Хяналтын цооногуудын мэдээллээр карьерийн усны түвшинг 1,43 м буулгасан ба карьерт нүүрс олборлолтын ажил гүйцэтгэсэн ашиглалтын 1-р аманд худаг өрөмдөн ил зумпфын аргаар насос байрлуулан усны түвшинг 13 м-ээр буулган устай 250.0 мян тн, нийт 1,250.0 мян тн нүүрсийг усны хүндрэлгүй бүрэн олборлож чадсан.</w:t>
      </w:r>
    </w:p>
    <w:p w:rsidR="00CE30C3" w:rsidRPr="001772A3" w:rsidRDefault="00CE30C3" w:rsidP="00CE30C3">
      <w:pPr>
        <w:spacing w:after="120" w:line="276" w:lineRule="auto"/>
        <w:jc w:val="both"/>
        <w:rPr>
          <w:rFonts w:eastAsiaTheme="minorHAnsi"/>
          <w:lang w:val="mn-MN"/>
        </w:rPr>
      </w:pPr>
    </w:p>
    <w:p w:rsidR="00CE30C3" w:rsidRPr="001772A3" w:rsidRDefault="00CE30C3" w:rsidP="00CE30C3">
      <w:pPr>
        <w:spacing w:line="276" w:lineRule="auto"/>
        <w:jc w:val="center"/>
        <w:rPr>
          <w:rFonts w:eastAsiaTheme="minorHAnsi"/>
          <w:b/>
          <w:i/>
          <w:lang w:val="mn-MN"/>
        </w:rPr>
      </w:pPr>
      <w:r w:rsidRPr="001772A3">
        <w:rPr>
          <w:rFonts w:eastAsiaTheme="minorHAnsi"/>
          <w:b/>
          <w:i/>
          <w:lang w:val="mn-MN"/>
        </w:rPr>
        <w:t>ТЕХНИКИЙН ШИНЭЧЛЭЛ БОЛОН ХӨРӨНГӨ ОРУУЛАЛТ ТЕХНИК ЗОХИОН БАЙГУУЛАЛТЫН ТАЛААР АВЧ ХЭРЭГЖҮҮЛСЭН АЖЛЫН ТАЛААР</w:t>
      </w:r>
    </w:p>
    <w:p w:rsidR="00CE30C3" w:rsidRPr="001772A3" w:rsidRDefault="00CE30C3" w:rsidP="00CE30C3">
      <w:pPr>
        <w:spacing w:line="276" w:lineRule="auto"/>
        <w:jc w:val="center"/>
        <w:rPr>
          <w:rFonts w:eastAsiaTheme="minorHAnsi"/>
          <w:b/>
          <w:i/>
          <w:highlight w:val="yellow"/>
          <w:lang w:val="mn-MN"/>
        </w:rPr>
      </w:pPr>
    </w:p>
    <w:p w:rsidR="00CE30C3" w:rsidRPr="001772A3" w:rsidRDefault="00CE30C3" w:rsidP="00CE30C3">
      <w:pPr>
        <w:spacing w:after="240" w:line="276" w:lineRule="auto"/>
        <w:ind w:firstLine="567"/>
        <w:jc w:val="both"/>
        <w:rPr>
          <w:rFonts w:eastAsiaTheme="minorHAnsi"/>
          <w:highlight w:val="yellow"/>
          <w:lang w:val="mn-MN"/>
        </w:rPr>
      </w:pPr>
      <w:r w:rsidRPr="001772A3">
        <w:rPr>
          <w:rFonts w:eastAsiaTheme="minorHAnsi"/>
          <w:lang w:val="mn-MN"/>
        </w:rPr>
        <w:t xml:space="preserve">Технологийн автомашинуудын хувьд Комацу техникүүд 20 дахь жилдээ, САТ техникүүд 8 дахь жилдээ, БелАЗ 7555 автосамосвал 4 дахь жилдээ, БелАЗ 75137 автосамосвал 2 дахь жилдээ, Shacman 5 дахь жилдээ тус тус ажиллаж байна. </w:t>
      </w:r>
    </w:p>
    <w:p w:rsidR="00CE30C3" w:rsidRPr="001772A3" w:rsidRDefault="00CE30C3" w:rsidP="00CE30C3">
      <w:pPr>
        <w:spacing w:after="240" w:line="276" w:lineRule="auto"/>
        <w:ind w:firstLine="567"/>
        <w:jc w:val="both"/>
        <w:rPr>
          <w:rFonts w:eastAsiaTheme="minorHAnsi"/>
          <w:lang w:val="mn-MN"/>
        </w:rPr>
      </w:pPr>
      <w:r w:rsidRPr="001772A3">
        <w:rPr>
          <w:rFonts w:eastAsiaTheme="minorHAnsi"/>
          <w:b/>
          <w:lang w:val="mn-MN"/>
        </w:rPr>
        <w:t>Нэг</w:t>
      </w:r>
      <w:r w:rsidRPr="001772A3">
        <w:rPr>
          <w:rFonts w:eastAsiaTheme="minorHAnsi"/>
          <w:lang w:val="mn-MN"/>
        </w:rPr>
        <w:t>. Техникийн бодлого боловсруулах, хэрэгжүүлэх талаар авч хэрэгжүүлсэн арга хэмжээ:</w:t>
      </w:r>
    </w:p>
    <w:p w:rsidR="00CE30C3" w:rsidRPr="001772A3" w:rsidRDefault="00CE30C3" w:rsidP="00CE30C3">
      <w:pPr>
        <w:numPr>
          <w:ilvl w:val="0"/>
          <w:numId w:val="2"/>
        </w:numPr>
        <w:spacing w:after="120" w:line="276" w:lineRule="auto"/>
        <w:contextualSpacing/>
        <w:jc w:val="both"/>
        <w:rPr>
          <w:rFonts w:eastAsiaTheme="minorHAnsi"/>
          <w:lang w:val="mn-MN"/>
        </w:rPr>
      </w:pPr>
      <w:r w:rsidRPr="001772A3">
        <w:rPr>
          <w:rFonts w:eastAsiaTheme="minorHAnsi"/>
          <w:lang w:val="mn-MN"/>
        </w:rPr>
        <w:t>Одоо ашиглаж байгаа насжилт өндөртэй ашиглалтын зардал нэмэгдэж буй Комацу техникүүд болон shacman автосамосвалиудыг актлаж, нэг төрлийн өндөр бүтээл бүхий брендийн техник хэрэгсэл, тоног төхөөрөмжүүдээр техникийн шинэчлэл хийх бодлогыг баримтлан ажиллаж байна.</w:t>
      </w:r>
    </w:p>
    <w:p w:rsidR="00CE30C3" w:rsidRPr="001772A3" w:rsidRDefault="00CE30C3" w:rsidP="00CE30C3">
      <w:pPr>
        <w:numPr>
          <w:ilvl w:val="0"/>
          <w:numId w:val="2"/>
        </w:numPr>
        <w:spacing w:after="120" w:line="276" w:lineRule="auto"/>
        <w:contextualSpacing/>
        <w:jc w:val="both"/>
        <w:rPr>
          <w:rFonts w:eastAsiaTheme="minorHAnsi"/>
          <w:lang w:val="mn-MN"/>
        </w:rPr>
      </w:pPr>
      <w:r w:rsidRPr="001772A3">
        <w:rPr>
          <w:rFonts w:eastAsiaTheme="minorHAnsi"/>
          <w:lang w:val="mn-MN"/>
        </w:rPr>
        <w:t>Парк бүрдүүлэлтийг Нүүрсний бластын зузаан, завсарын хөрсний үеүдийн зузаанд тохируулан 5м</w:t>
      </w:r>
      <w:r w:rsidRPr="001772A3">
        <w:rPr>
          <w:rFonts w:eastAsiaTheme="minorHAnsi"/>
          <w:vertAlign w:val="superscript"/>
          <w:lang w:val="mn-MN"/>
        </w:rPr>
        <w:t>3</w:t>
      </w:r>
      <w:r w:rsidRPr="001772A3">
        <w:rPr>
          <w:rFonts w:eastAsiaTheme="minorHAnsi"/>
          <w:lang w:val="mn-MN"/>
        </w:rPr>
        <w:t xml:space="preserve"> экскаватор, 50-60тн автосамосвал ажиллуулах, мөн үндсэн хөрс хуулалтанд 136 тн-оос дээш даацтай автосамосвал түүнтэй хосолж ажиллах ЭКГ-10и экскаваторт шилжүүлэх бодлогыг баримталж байна.</w:t>
      </w:r>
    </w:p>
    <w:p w:rsidR="00CE30C3" w:rsidRPr="001772A3" w:rsidRDefault="00CE30C3" w:rsidP="00CE30C3">
      <w:pPr>
        <w:spacing w:after="240" w:line="276" w:lineRule="auto"/>
        <w:ind w:firstLine="567"/>
        <w:jc w:val="both"/>
        <w:rPr>
          <w:rFonts w:eastAsiaTheme="minorHAnsi"/>
          <w:lang w:val="mn-MN"/>
        </w:rPr>
      </w:pPr>
      <w:r w:rsidRPr="001772A3">
        <w:rPr>
          <w:rFonts w:eastAsiaTheme="minorHAnsi"/>
          <w:b/>
          <w:lang w:val="mn-MN"/>
        </w:rPr>
        <w:t>Хоёр.</w:t>
      </w:r>
      <w:r w:rsidRPr="001772A3">
        <w:rPr>
          <w:rFonts w:eastAsiaTheme="minorHAnsi"/>
          <w:lang w:val="mn-MN"/>
        </w:rPr>
        <w:t xml:space="preserve"> “Шивээ-Овоо” ХК нь 2017 онд хөрөнгө оруулалт техник зохион байгуулалтын талаар авч хэрэгжүүлэхээр төлөвлөсөн ажлын хүрээнд дараах хөрөнгө оруулалт хийгдсэн байна. Үүнд:</w:t>
      </w:r>
    </w:p>
    <w:p w:rsidR="00CE30C3" w:rsidRPr="001772A3" w:rsidRDefault="00CE30C3" w:rsidP="00CE30C3">
      <w:pPr>
        <w:spacing w:after="240" w:line="276" w:lineRule="auto"/>
        <w:ind w:firstLine="567"/>
        <w:contextualSpacing/>
        <w:jc w:val="both"/>
        <w:rPr>
          <w:rFonts w:eastAsiaTheme="minorHAnsi"/>
          <w:lang w:val="mn-MN"/>
        </w:rPr>
      </w:pPr>
      <w:r w:rsidRPr="001772A3">
        <w:rPr>
          <w:rFonts w:eastAsiaTheme="minorHAnsi"/>
          <w:lang w:val="mn-MN"/>
        </w:rPr>
        <w:t>1. Нүүрсний чанар дээшлүүлэх ажлын хүрээнд шүүрүүлэх гүний усны хэмжээг нэмэгдүүлэх шаардлагын дагуу нэмэгдсэн 10 худагт 2.6 тэрбум төгрөг</w:t>
      </w:r>
    </w:p>
    <w:p w:rsidR="00CE30C3" w:rsidRPr="001772A3" w:rsidRDefault="00CE30C3" w:rsidP="00CE30C3">
      <w:pPr>
        <w:spacing w:after="240" w:line="276" w:lineRule="auto"/>
        <w:ind w:firstLine="567"/>
        <w:contextualSpacing/>
        <w:jc w:val="both"/>
        <w:rPr>
          <w:rFonts w:eastAsiaTheme="minorHAnsi"/>
          <w:lang w:val="mn-MN"/>
        </w:rPr>
      </w:pPr>
      <w:r w:rsidRPr="001772A3">
        <w:rPr>
          <w:rFonts w:eastAsiaTheme="minorHAnsi"/>
          <w:lang w:val="mn-MN"/>
        </w:rPr>
        <w:t>2. 45 хүний суудалтай “Хьюндай Юниверс” маркийн 2 тээвэр үйлчилгээний автобусанд 540.0 сая төгрөг, зам усалгааны машинд 114.0 сая төгрөг</w:t>
      </w:r>
    </w:p>
    <w:p w:rsidR="00CE30C3" w:rsidRPr="001772A3" w:rsidRDefault="00CE30C3" w:rsidP="00CE30C3">
      <w:pPr>
        <w:spacing w:after="240" w:line="276" w:lineRule="auto"/>
        <w:ind w:firstLine="567"/>
        <w:contextualSpacing/>
        <w:jc w:val="both"/>
        <w:rPr>
          <w:rFonts w:eastAsiaTheme="minorHAnsi"/>
          <w:lang w:val="mn-MN"/>
        </w:rPr>
      </w:pPr>
      <w:r w:rsidRPr="001772A3">
        <w:rPr>
          <w:rFonts w:eastAsiaTheme="minorHAnsi"/>
          <w:lang w:val="mn-MN"/>
        </w:rPr>
        <w:t>3. Технологи дамжлагын хэсгийн ажилтнуудын цайны газрын барилгын зураг төсөл болон барилга угсралтын ажилд 109 сая төгрөг</w:t>
      </w:r>
    </w:p>
    <w:p w:rsidR="00CE30C3" w:rsidRPr="001772A3" w:rsidRDefault="00CE30C3" w:rsidP="00CE30C3">
      <w:pPr>
        <w:spacing w:after="240" w:line="276" w:lineRule="auto"/>
        <w:ind w:firstLine="567"/>
        <w:contextualSpacing/>
        <w:jc w:val="both"/>
        <w:rPr>
          <w:rFonts w:eastAsiaTheme="minorHAnsi"/>
          <w:lang w:val="mn-MN"/>
        </w:rPr>
      </w:pPr>
      <w:r w:rsidRPr="001772A3">
        <w:rPr>
          <w:rFonts w:eastAsiaTheme="minorHAnsi"/>
          <w:lang w:val="mn-MN"/>
        </w:rPr>
        <w:t>4. Төв диспетчерийн өрөөний засварт 12.6 сая төгрөг</w:t>
      </w:r>
    </w:p>
    <w:p w:rsidR="00CE30C3" w:rsidRPr="001772A3" w:rsidRDefault="00CE30C3" w:rsidP="00CE30C3">
      <w:pPr>
        <w:spacing w:after="240" w:line="276" w:lineRule="auto"/>
        <w:ind w:firstLine="567"/>
        <w:contextualSpacing/>
        <w:jc w:val="both"/>
        <w:rPr>
          <w:rFonts w:eastAsiaTheme="minorHAnsi"/>
          <w:lang w:val="mn-MN"/>
        </w:rPr>
      </w:pPr>
      <w:r w:rsidRPr="001772A3">
        <w:rPr>
          <w:rFonts w:eastAsiaTheme="minorHAnsi"/>
          <w:lang w:val="mn-MN"/>
        </w:rPr>
        <w:t>5. Уурхайчдын 14-р байрны босоо шугамын засварт 49.7 сая төгрөг</w:t>
      </w:r>
    </w:p>
    <w:p w:rsidR="00CE30C3" w:rsidRPr="001772A3" w:rsidRDefault="00CE30C3" w:rsidP="00CE30C3">
      <w:pPr>
        <w:spacing w:after="240" w:line="276" w:lineRule="auto"/>
        <w:ind w:firstLine="567"/>
        <w:contextualSpacing/>
        <w:jc w:val="both"/>
        <w:rPr>
          <w:rFonts w:eastAsiaTheme="minorHAnsi"/>
          <w:lang w:val="mn-MN"/>
        </w:rPr>
      </w:pPr>
      <w:r w:rsidRPr="001772A3">
        <w:rPr>
          <w:rFonts w:eastAsiaTheme="minorHAnsi"/>
          <w:lang w:val="mn-MN"/>
        </w:rPr>
        <w:t>6. Ажилтнуудын 13-р байрны гаднах хананы засварт /фасад/ 12.0 сая төгрөг</w:t>
      </w:r>
    </w:p>
    <w:p w:rsidR="00CE30C3" w:rsidRPr="001772A3" w:rsidRDefault="00CE30C3" w:rsidP="00CE30C3">
      <w:pPr>
        <w:spacing w:after="240" w:line="276" w:lineRule="auto"/>
        <w:ind w:firstLine="567"/>
        <w:contextualSpacing/>
        <w:jc w:val="both"/>
        <w:rPr>
          <w:rFonts w:eastAsiaTheme="minorHAnsi"/>
          <w:lang w:val="mn-MN"/>
        </w:rPr>
      </w:pPr>
      <w:r w:rsidRPr="001772A3">
        <w:rPr>
          <w:rFonts w:eastAsiaTheme="minorHAnsi"/>
          <w:lang w:val="mn-MN"/>
        </w:rPr>
        <w:t>7. Улаанбаатар хотод байрлах төлөөлөгчийн газрын байранд 273 сая төгрөгийн тус тус хөрөнгө оруулалт хийгдэж үндсэн хөрөнгө худалдан авч, бүтээн босголтын ажил явагдлаа.</w:t>
      </w:r>
    </w:p>
    <w:p w:rsidR="00CE30C3" w:rsidRPr="001772A3" w:rsidRDefault="00CE30C3" w:rsidP="00CE30C3">
      <w:pPr>
        <w:spacing w:after="240" w:line="276" w:lineRule="auto"/>
        <w:ind w:firstLine="567"/>
        <w:jc w:val="both"/>
        <w:rPr>
          <w:rFonts w:eastAsiaTheme="minorHAnsi"/>
          <w:highlight w:val="yellow"/>
          <w:lang w:val="mn-MN"/>
        </w:rPr>
      </w:pPr>
      <w:r w:rsidRPr="001772A3">
        <w:rPr>
          <w:rFonts w:eastAsiaTheme="minorHAnsi"/>
          <w:lang w:val="mn-MN"/>
        </w:rPr>
        <w:t xml:space="preserve">Эдгээр ажил хэрэгжсэнээр өнөөдрийн байдлаар гүний ус шүүрүүлэлт хэвийн түвшинд явагдах нөхцөл бүрдэж, уурхайчдыг ажлын байранд нь аюулгүй, тав тухтай хүргэж авах </w:t>
      </w:r>
      <w:r w:rsidRPr="001772A3">
        <w:rPr>
          <w:rFonts w:eastAsiaTheme="minorHAnsi"/>
          <w:lang w:val="mn-MN"/>
        </w:rPr>
        <w:lastRenderedPageBreak/>
        <w:t>боломж бүрдэж, үндсэн хөрөнгийн урсгал засварын ажил хийгдсэнээр насжилт уртсаж, УБ төлөөлөгчийн газрын түрээс, буудлын зардал хэмнэгдэж, үндсэн хөрөнгө нэмэгдэж өмнө тавьсан үйлдвэрлэлийн зорилтоо биелүүлсэн байна.</w:t>
      </w:r>
    </w:p>
    <w:p w:rsidR="00CE30C3" w:rsidRPr="001772A3" w:rsidRDefault="00CE30C3" w:rsidP="00CE30C3">
      <w:pPr>
        <w:spacing w:after="240" w:line="276" w:lineRule="auto"/>
        <w:ind w:firstLine="567"/>
        <w:jc w:val="both"/>
        <w:rPr>
          <w:rFonts w:eastAsiaTheme="minorHAnsi"/>
          <w:highlight w:val="yellow"/>
          <w:lang w:val="mn-MN"/>
        </w:rPr>
      </w:pPr>
      <w:r w:rsidRPr="001772A3">
        <w:rPr>
          <w:rFonts w:eastAsiaTheme="minorHAnsi"/>
          <w:b/>
          <w:kern w:val="24"/>
          <w:lang w:val="mn-MN"/>
        </w:rPr>
        <w:t>Гурав</w:t>
      </w:r>
      <w:r w:rsidRPr="001772A3">
        <w:rPr>
          <w:rFonts w:eastAsiaTheme="minorHAnsi"/>
          <w:kern w:val="24"/>
          <w:lang w:val="mn-MN"/>
        </w:rPr>
        <w:t xml:space="preserve">. 2017-2018 оны өвөлжилтийн бэлтгэл ажлын төлөвлөгөө боловсруулж 42 ажил хийхээр төлөвлөснөөс </w:t>
      </w:r>
      <w:r w:rsidRPr="001772A3">
        <w:rPr>
          <w:rFonts w:eastAsiaTheme="minorHAnsi"/>
          <w:lang w:val="mn-MN"/>
        </w:rPr>
        <w:t xml:space="preserve">санхүүгийн хүндрэлтэй байдлаас шалтгаалан хугацаандаа 7 ажил хойшилж 3-н ажил хийгдээгүйгээс </w:t>
      </w:r>
      <w:r w:rsidRPr="001772A3">
        <w:rPr>
          <w:rFonts w:eastAsiaTheme="minorHAnsi"/>
          <w:kern w:val="24"/>
          <w:lang w:val="mn-MN"/>
        </w:rPr>
        <w:t xml:space="preserve">73%-ийн гүйцэтгэлтэй гарсан. Технологийн автомашин, механизмын хөдөлгүүр, коробканы капитал засварын 3 ажил /165.0 сая төгрөг/, </w:t>
      </w:r>
      <w:r w:rsidRPr="001772A3">
        <w:rPr>
          <w:rFonts w:eastAsiaTheme="minorHAnsi"/>
          <w:lang w:val="mn-MN"/>
        </w:rPr>
        <w:t xml:space="preserve">ЭТБҮ-ийн тоног төхөөрөмж угсарч суурилуулах /138.0 сая төгрөг/ зэрэг ажлууд санхүүгийн </w:t>
      </w:r>
      <w:r w:rsidRPr="001772A3">
        <w:rPr>
          <w:rFonts w:eastAsiaTheme="minorHAnsi"/>
          <w:kern w:val="24"/>
          <w:lang w:val="mn-MN"/>
        </w:rPr>
        <w:t xml:space="preserve">боломжгүйгээс хийгдээгүй. . </w:t>
      </w:r>
      <w:r w:rsidRPr="001772A3">
        <w:rPr>
          <w:rFonts w:eastAsiaTheme="minorHAnsi"/>
          <w:noProof/>
          <w:lang w:val="mn-MN"/>
        </w:rPr>
        <w:t>Компанийн хэмжээнд ТББК 0.62%, ТАК 0.64% байна.</w:t>
      </w:r>
    </w:p>
    <w:p w:rsidR="00CE30C3" w:rsidRPr="001772A3" w:rsidRDefault="00CE30C3" w:rsidP="00CE30C3">
      <w:pPr>
        <w:spacing w:after="240" w:line="276" w:lineRule="auto"/>
        <w:jc w:val="center"/>
        <w:rPr>
          <w:rFonts w:eastAsiaTheme="minorHAnsi"/>
          <w:b/>
          <w:i/>
          <w:lang w:val="mn-MN"/>
        </w:rPr>
      </w:pPr>
      <w:r w:rsidRPr="001772A3">
        <w:rPr>
          <w:rFonts w:eastAsiaTheme="minorHAnsi"/>
          <w:b/>
          <w:i/>
          <w:lang w:val="mn-MN"/>
        </w:rPr>
        <w:t>ХОЁР. ҮЙЛ АЖИЛЛАГАА БОЛОН САНХҮҮ, ЭДИЙН ЗАСГИЙН ТАЛААР</w:t>
      </w:r>
    </w:p>
    <w:p w:rsidR="00CE30C3" w:rsidRPr="001772A3" w:rsidRDefault="00CE30C3" w:rsidP="00CE30C3">
      <w:pPr>
        <w:spacing w:before="120" w:line="276" w:lineRule="auto"/>
        <w:ind w:firstLine="720"/>
        <w:jc w:val="both"/>
        <w:rPr>
          <w:rFonts w:eastAsia="Times New Roman"/>
          <w:lang w:val="mn-MN"/>
        </w:rPr>
      </w:pPr>
      <w:r w:rsidRPr="001772A3">
        <w:rPr>
          <w:rFonts w:eastAsia="Times New Roman"/>
          <w:lang w:val="mn-MN"/>
        </w:rPr>
        <w:t>2017 оны бизнес төлөвлөгөөгөөр нийт 47,969.4 сая төгрөгийн борлуулалт хийж 47,965.9 сая төгрөгийн зардал гарган 3.5 сая төгрөгийн ашигтай ажиллахаар төлөвлөсөн бол 2017 онд үндсэн үйл ажиллагаанаас 49,062.1 сая төгрөгийн орлого олж 47,193.9 сая төгрөгийн зардал гарган 1,868.3 сая төгрөгийн ашигтай ажиллаж, үйлдвэрлэлийн бус үйл ажиллагаанаас 71.4 сая төгрөгийн орлого олж 1,666.4 сая төгрөгийн зардал гарган 1,595.0 сая төгрөгийн алдагдалтай ажиллан, нийт дүнгээрээ 273.3 сая төгрөгийн ашигтай ажиллалаа.</w:t>
      </w:r>
    </w:p>
    <w:p w:rsidR="00CE30C3" w:rsidRPr="001772A3" w:rsidRDefault="00CE30C3" w:rsidP="00CE30C3">
      <w:pPr>
        <w:spacing w:before="120" w:after="240" w:line="276" w:lineRule="auto"/>
        <w:ind w:firstLine="567"/>
        <w:jc w:val="both"/>
        <w:rPr>
          <w:rFonts w:eastAsiaTheme="minorHAnsi"/>
          <w:lang w:val="mn-MN"/>
        </w:rPr>
      </w:pPr>
      <w:r w:rsidRPr="001772A3">
        <w:rPr>
          <w:rFonts w:eastAsiaTheme="minorHAnsi"/>
          <w:lang w:val="mn-MN"/>
        </w:rPr>
        <w:t>2016 онд 37,975.9 сая төгрөгийн зардал гаргаж нэгжийн өртөг 20,190.7 төгрөг байсан бол 2017 онд 47,193.9 сая төгрөгийн зардал гаргаж нэгжийн өртөг 23,360.1 төгрөг болсон. Өөрөөр хэлбэл өмнөх оны мөн үеэс нэгжийн өртөг 15.7 хувь буюу 3,169.4 төгрөгөөр өссөн байна.</w:t>
      </w:r>
    </w:p>
    <w:p w:rsidR="00CE30C3" w:rsidRPr="001772A3" w:rsidRDefault="00CE30C3" w:rsidP="00CE30C3">
      <w:pPr>
        <w:spacing w:after="120" w:line="276" w:lineRule="auto"/>
        <w:ind w:firstLine="567"/>
        <w:jc w:val="both"/>
        <w:rPr>
          <w:rFonts w:eastAsiaTheme="minorHAnsi"/>
          <w:lang w:val="mn-MN"/>
        </w:rPr>
      </w:pPr>
      <w:r w:rsidRPr="001772A3">
        <w:rPr>
          <w:rFonts w:eastAsiaTheme="minorHAnsi"/>
          <w:lang w:val="mn-MN"/>
        </w:rPr>
        <w:t xml:space="preserve">Олон улсын НББ-ын 20-р стандартын дагуу түрүүлэгч мөрөгцөгийн хөрс хуулалтанд гаргасан 6.4 тэрбум төгрөгийн зардлыг хойшлуулж бүртгэсэн бөгөөд нэгэнт гарсан зардал тул өртөгт оруулан тооцоход 1 тонн нүүрсний бодит өртөг </w:t>
      </w:r>
      <w:r w:rsidRPr="001772A3">
        <w:rPr>
          <w:rFonts w:eastAsiaTheme="minorHAnsi"/>
          <w:b/>
          <w:lang w:val="mn-MN"/>
        </w:rPr>
        <w:t>26,538.2</w:t>
      </w:r>
      <w:r w:rsidRPr="001772A3">
        <w:rPr>
          <w:rFonts w:eastAsiaTheme="minorHAnsi"/>
          <w:lang w:val="mn-MN"/>
        </w:rPr>
        <w:t xml:space="preserve"> төгрөг байна.</w:t>
      </w:r>
    </w:p>
    <w:p w:rsidR="00CE30C3" w:rsidRPr="001772A3" w:rsidRDefault="00CE30C3" w:rsidP="00CE30C3">
      <w:pPr>
        <w:spacing w:before="120" w:after="240" w:line="276" w:lineRule="auto"/>
        <w:jc w:val="center"/>
        <w:rPr>
          <w:rFonts w:eastAsiaTheme="minorHAnsi"/>
          <w:b/>
          <w:lang w:val="mn-MN"/>
        </w:rPr>
      </w:pPr>
      <w:r w:rsidRPr="001772A3">
        <w:rPr>
          <w:rFonts w:eastAsiaTheme="minorHAnsi"/>
          <w:b/>
          <w:lang w:val="mn-MN"/>
        </w:rPr>
        <w:t>НҮҮРС БОРЛУУЛАЛТЫН ОРЛОГЫН ТАЛААР</w:t>
      </w:r>
    </w:p>
    <w:p w:rsidR="00CE30C3" w:rsidRPr="001772A3" w:rsidRDefault="00CE30C3" w:rsidP="00CE30C3">
      <w:pPr>
        <w:spacing w:before="120" w:after="240" w:line="276" w:lineRule="auto"/>
        <w:ind w:firstLine="720"/>
        <w:jc w:val="both"/>
        <w:rPr>
          <w:rFonts w:eastAsiaTheme="minorHAnsi"/>
          <w:lang w:val="mn-MN"/>
        </w:rPr>
      </w:pPr>
      <w:r w:rsidRPr="001772A3">
        <w:rPr>
          <w:rFonts w:eastAsiaTheme="minorHAnsi"/>
          <w:lang w:val="mn-MN"/>
        </w:rPr>
        <w:t xml:space="preserve">2017 онд 2,020.3 мянган тонн нүүрс борлуулж төлөвлөгөөгөө 3.6 хувиар даван биелүүлсэн байна. Нүүрс борлуулалтын орлого 49,062.1 сая төгрөг байна. </w:t>
      </w:r>
    </w:p>
    <w:p w:rsidR="00CE30C3" w:rsidRPr="001772A3" w:rsidRDefault="00CE30C3" w:rsidP="00CE30C3">
      <w:pPr>
        <w:spacing w:before="120" w:after="240" w:line="276" w:lineRule="auto"/>
        <w:ind w:firstLine="720"/>
        <w:jc w:val="both"/>
        <w:rPr>
          <w:rFonts w:eastAsiaTheme="minorHAnsi"/>
          <w:color w:val="FF0000"/>
          <w:lang w:val="mn-MN"/>
        </w:rPr>
      </w:pPr>
      <w:r w:rsidRPr="001772A3">
        <w:rPr>
          <w:rFonts w:eastAsiaTheme="minorHAnsi"/>
          <w:lang w:val="mn-MN"/>
        </w:rPr>
        <w:t>“ДЦС-IV” компанид нийлүүлсэн нүүрсний жилийн дундаж илчлэг 2,960.3 ккал/кг болж стандартаас /3000 ккал.кг/ бага байснаар 565.8 сая төгрөгийн олох боломжоо алдсан байна. Энэ нь өнгөрсөн оны мөн үеийнхээс 18.6 ккал/кг-аар илүү гарсан үзүүлэлт юм.</w:t>
      </w:r>
    </w:p>
    <w:p w:rsidR="00CE30C3" w:rsidRPr="001772A3" w:rsidRDefault="00CE30C3" w:rsidP="00CE30C3">
      <w:pPr>
        <w:spacing w:before="120" w:after="240" w:line="276" w:lineRule="auto"/>
        <w:ind w:firstLine="720"/>
        <w:jc w:val="both"/>
        <w:rPr>
          <w:rFonts w:eastAsiaTheme="minorHAnsi"/>
          <w:lang w:val="mn-MN"/>
        </w:rPr>
      </w:pPr>
      <w:r w:rsidRPr="001772A3">
        <w:rPr>
          <w:rFonts w:eastAsiaTheme="minorHAnsi"/>
          <w:lang w:val="mn-MN"/>
        </w:rPr>
        <w:t>Олборлосон нүүрсний илчлэг 2017 оны 1-р улирлын байдлаар 2,971.7 ккал/кг, 2-р улиралд 2,908.7 ккал/кг, 3-р улиралд 2,962.7 ккал/кг, 4-р улиралд 2,998.3 ккал/кг гарчээ. Нүүрс борлуулалтын зах зээлийн томоохон хэрэглэгчдэд нийлүүлж буй нүүрсний хэмжээг үзүүлбэл /мянган тонноор/</w:t>
      </w:r>
    </w:p>
    <w:p w:rsidR="00CE30C3" w:rsidRPr="001772A3" w:rsidRDefault="00CE30C3" w:rsidP="00CE30C3">
      <w:pPr>
        <w:spacing w:before="120" w:after="240" w:line="276" w:lineRule="auto"/>
        <w:jc w:val="both"/>
        <w:rPr>
          <w:rFonts w:eastAsiaTheme="minorHAnsi"/>
          <w:lang w:val="mn-MN"/>
        </w:rPr>
      </w:pPr>
      <w:r w:rsidRPr="001772A3">
        <w:rPr>
          <w:rFonts w:eastAsiaTheme="minorHAnsi"/>
          <w:lang w:val="mn-MN"/>
        </w:rPr>
        <w:t>Нийт нүүрснийхээ 96.8 хувийг доорх 8 хэрэглэгчид борлуулсан байна.</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324"/>
        <w:gridCol w:w="1283"/>
        <w:gridCol w:w="1503"/>
        <w:gridCol w:w="1283"/>
        <w:gridCol w:w="1327"/>
      </w:tblGrid>
      <w:tr w:rsidR="00CE30C3" w:rsidRPr="001772A3" w:rsidTr="00EB4636">
        <w:trPr>
          <w:trHeight w:val="512"/>
          <w:jc w:val="center"/>
        </w:trPr>
        <w:tc>
          <w:tcPr>
            <w:tcW w:w="560" w:type="dxa"/>
            <w:vAlign w:val="center"/>
          </w:tcPr>
          <w:p w:rsidR="00CE30C3" w:rsidRPr="001772A3" w:rsidRDefault="00CE30C3" w:rsidP="00EB4636">
            <w:pPr>
              <w:spacing w:before="120"/>
              <w:jc w:val="center"/>
              <w:rPr>
                <w:rFonts w:eastAsia="Times New Roman"/>
                <w:b/>
                <w:lang w:val="mn-MN"/>
              </w:rPr>
            </w:pPr>
            <w:r w:rsidRPr="001772A3">
              <w:rPr>
                <w:rFonts w:eastAsia="Times New Roman"/>
                <w:b/>
                <w:lang w:val="mn-MN"/>
              </w:rPr>
              <w:lastRenderedPageBreak/>
              <w:t>Д/д</w:t>
            </w:r>
          </w:p>
        </w:tc>
        <w:tc>
          <w:tcPr>
            <w:tcW w:w="2530" w:type="dxa"/>
            <w:vAlign w:val="center"/>
          </w:tcPr>
          <w:p w:rsidR="00CE30C3" w:rsidRPr="001772A3" w:rsidRDefault="00CE30C3" w:rsidP="00EB4636">
            <w:pPr>
              <w:spacing w:before="120"/>
              <w:jc w:val="center"/>
              <w:rPr>
                <w:rFonts w:eastAsia="Times New Roman"/>
                <w:b/>
                <w:lang w:val="mn-MN"/>
              </w:rPr>
            </w:pPr>
            <w:r w:rsidRPr="001772A3">
              <w:rPr>
                <w:rFonts w:eastAsia="Times New Roman"/>
                <w:b/>
                <w:lang w:val="mn-MN"/>
              </w:rPr>
              <w:t>Хэрэглэгчид</w:t>
            </w:r>
          </w:p>
        </w:tc>
        <w:tc>
          <w:tcPr>
            <w:tcW w:w="1201" w:type="dxa"/>
            <w:vAlign w:val="center"/>
          </w:tcPr>
          <w:p w:rsidR="00CE30C3" w:rsidRPr="001772A3" w:rsidRDefault="00CE30C3" w:rsidP="00EB4636">
            <w:pPr>
              <w:spacing w:before="120"/>
              <w:jc w:val="center"/>
              <w:rPr>
                <w:rFonts w:eastAsia="Times New Roman"/>
                <w:b/>
                <w:lang w:val="mn-MN"/>
              </w:rPr>
            </w:pPr>
            <w:r w:rsidRPr="001772A3">
              <w:rPr>
                <w:rFonts w:eastAsia="Times New Roman"/>
                <w:b/>
                <w:lang w:val="mn-MN"/>
              </w:rPr>
              <w:t>2016 оны гүйцэтгэл</w:t>
            </w:r>
          </w:p>
        </w:tc>
        <w:tc>
          <w:tcPr>
            <w:tcW w:w="1340" w:type="dxa"/>
            <w:vAlign w:val="center"/>
          </w:tcPr>
          <w:p w:rsidR="00CE30C3" w:rsidRPr="001772A3" w:rsidRDefault="00CE30C3" w:rsidP="00EB4636">
            <w:pPr>
              <w:spacing w:before="120"/>
              <w:jc w:val="center"/>
              <w:rPr>
                <w:rFonts w:eastAsia="Times New Roman"/>
                <w:b/>
                <w:lang w:val="mn-MN"/>
              </w:rPr>
            </w:pPr>
            <w:r w:rsidRPr="001772A3">
              <w:rPr>
                <w:rFonts w:eastAsia="Times New Roman"/>
                <w:b/>
                <w:lang w:val="mn-MN"/>
              </w:rPr>
              <w:t>2017 оны төлөвлөгөө</w:t>
            </w:r>
          </w:p>
        </w:tc>
        <w:tc>
          <w:tcPr>
            <w:tcW w:w="1245" w:type="dxa"/>
            <w:vAlign w:val="center"/>
          </w:tcPr>
          <w:p w:rsidR="00CE30C3" w:rsidRPr="001772A3" w:rsidRDefault="00CE30C3" w:rsidP="00EB4636">
            <w:pPr>
              <w:spacing w:before="120"/>
              <w:jc w:val="center"/>
              <w:rPr>
                <w:rFonts w:eastAsia="Times New Roman"/>
                <w:b/>
                <w:lang w:val="mn-MN"/>
              </w:rPr>
            </w:pPr>
            <w:r w:rsidRPr="001772A3">
              <w:rPr>
                <w:rFonts w:eastAsia="Times New Roman"/>
                <w:b/>
                <w:lang w:val="mn-MN"/>
              </w:rPr>
              <w:t>2017 оны гүйцэтгэл</w:t>
            </w:r>
          </w:p>
        </w:tc>
        <w:tc>
          <w:tcPr>
            <w:tcW w:w="1418" w:type="dxa"/>
            <w:vAlign w:val="center"/>
          </w:tcPr>
          <w:p w:rsidR="00CE30C3" w:rsidRPr="001772A3" w:rsidRDefault="00CE30C3" w:rsidP="00EB4636">
            <w:pPr>
              <w:spacing w:before="120"/>
              <w:jc w:val="center"/>
              <w:rPr>
                <w:rFonts w:eastAsia="Times New Roman"/>
                <w:b/>
                <w:lang w:val="mn-MN"/>
              </w:rPr>
            </w:pPr>
            <w:r w:rsidRPr="001772A3">
              <w:rPr>
                <w:rFonts w:eastAsia="Times New Roman"/>
                <w:b/>
                <w:lang w:val="mn-MN"/>
              </w:rPr>
              <w:t>Дүнд эзлэх хувийн жин</w:t>
            </w:r>
          </w:p>
        </w:tc>
      </w:tr>
      <w:tr w:rsidR="00CE30C3" w:rsidRPr="001772A3" w:rsidTr="00EB4636">
        <w:trPr>
          <w:trHeight w:val="97"/>
          <w:jc w:val="center"/>
        </w:trPr>
        <w:tc>
          <w:tcPr>
            <w:tcW w:w="560" w:type="dxa"/>
            <w:vAlign w:val="center"/>
          </w:tcPr>
          <w:p w:rsidR="00CE30C3" w:rsidRPr="001772A3" w:rsidRDefault="00CE30C3" w:rsidP="00EB4636">
            <w:pPr>
              <w:tabs>
                <w:tab w:val="left" w:pos="452"/>
              </w:tabs>
              <w:spacing w:before="120"/>
              <w:jc w:val="center"/>
              <w:rPr>
                <w:rFonts w:eastAsia="Times New Roman"/>
                <w:lang w:val="mn-MN"/>
              </w:rPr>
            </w:pPr>
            <w:r w:rsidRPr="001772A3">
              <w:rPr>
                <w:rFonts w:eastAsia="Times New Roman"/>
                <w:lang w:val="mn-MN"/>
              </w:rPr>
              <w:t>1</w:t>
            </w:r>
          </w:p>
        </w:tc>
        <w:tc>
          <w:tcPr>
            <w:tcW w:w="2530"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ДЦС-IV ТӨХК</w:t>
            </w:r>
          </w:p>
        </w:tc>
        <w:tc>
          <w:tcPr>
            <w:tcW w:w="1201"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1,631.1</w:t>
            </w:r>
          </w:p>
        </w:tc>
        <w:tc>
          <w:tcPr>
            <w:tcW w:w="1340"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1,650.0</w:t>
            </w:r>
          </w:p>
        </w:tc>
        <w:tc>
          <w:tcPr>
            <w:tcW w:w="1245"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1,729.6</w:t>
            </w:r>
          </w:p>
        </w:tc>
        <w:tc>
          <w:tcPr>
            <w:tcW w:w="1418"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85.6</w:t>
            </w:r>
          </w:p>
        </w:tc>
      </w:tr>
      <w:tr w:rsidR="00CE30C3" w:rsidRPr="001772A3" w:rsidTr="00EB4636">
        <w:trPr>
          <w:trHeight w:val="88"/>
          <w:jc w:val="center"/>
        </w:trPr>
        <w:tc>
          <w:tcPr>
            <w:tcW w:w="560" w:type="dxa"/>
            <w:vAlign w:val="center"/>
          </w:tcPr>
          <w:p w:rsidR="00CE30C3" w:rsidRPr="001772A3" w:rsidRDefault="00CE30C3" w:rsidP="00EB4636">
            <w:pPr>
              <w:spacing w:before="120"/>
              <w:jc w:val="center"/>
              <w:rPr>
                <w:rFonts w:eastAsia="Times New Roman"/>
                <w:lang w:val="mn-MN"/>
              </w:rPr>
            </w:pPr>
            <w:r w:rsidRPr="001772A3">
              <w:rPr>
                <w:rFonts w:eastAsia="Times New Roman"/>
                <w:lang w:val="mn-MN"/>
              </w:rPr>
              <w:t>2</w:t>
            </w:r>
          </w:p>
        </w:tc>
        <w:tc>
          <w:tcPr>
            <w:tcW w:w="2530"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УБ Төмөр зам</w:t>
            </w:r>
          </w:p>
        </w:tc>
        <w:tc>
          <w:tcPr>
            <w:tcW w:w="1201"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39.2</w:t>
            </w:r>
          </w:p>
        </w:tc>
        <w:tc>
          <w:tcPr>
            <w:tcW w:w="1340"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45.0</w:t>
            </w:r>
          </w:p>
        </w:tc>
        <w:tc>
          <w:tcPr>
            <w:tcW w:w="1245"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34.1</w:t>
            </w:r>
          </w:p>
        </w:tc>
        <w:tc>
          <w:tcPr>
            <w:tcW w:w="1418"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1.7</w:t>
            </w:r>
          </w:p>
        </w:tc>
      </w:tr>
      <w:tr w:rsidR="00CE30C3" w:rsidRPr="001772A3" w:rsidTr="00EB4636">
        <w:trPr>
          <w:jc w:val="center"/>
        </w:trPr>
        <w:tc>
          <w:tcPr>
            <w:tcW w:w="560" w:type="dxa"/>
            <w:vAlign w:val="center"/>
          </w:tcPr>
          <w:p w:rsidR="00CE30C3" w:rsidRPr="001772A3" w:rsidRDefault="00CE30C3" w:rsidP="00EB4636">
            <w:pPr>
              <w:spacing w:before="120"/>
              <w:jc w:val="center"/>
              <w:rPr>
                <w:rFonts w:eastAsia="Times New Roman"/>
                <w:lang w:val="mn-MN"/>
              </w:rPr>
            </w:pPr>
            <w:r w:rsidRPr="001772A3">
              <w:rPr>
                <w:rFonts w:eastAsia="Times New Roman"/>
                <w:lang w:val="mn-MN"/>
              </w:rPr>
              <w:t>3</w:t>
            </w:r>
          </w:p>
        </w:tc>
        <w:tc>
          <w:tcPr>
            <w:tcW w:w="2530"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Бор өндөр УБҮ</w:t>
            </w:r>
          </w:p>
        </w:tc>
        <w:tc>
          <w:tcPr>
            <w:tcW w:w="1201"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38.8</w:t>
            </w:r>
          </w:p>
        </w:tc>
        <w:tc>
          <w:tcPr>
            <w:tcW w:w="1340"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38.0</w:t>
            </w:r>
          </w:p>
        </w:tc>
        <w:tc>
          <w:tcPr>
            <w:tcW w:w="1245"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46.1</w:t>
            </w:r>
          </w:p>
        </w:tc>
        <w:tc>
          <w:tcPr>
            <w:tcW w:w="1418"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2.3</w:t>
            </w:r>
          </w:p>
        </w:tc>
      </w:tr>
      <w:tr w:rsidR="00CE30C3" w:rsidRPr="001772A3" w:rsidTr="00EB4636">
        <w:trPr>
          <w:jc w:val="center"/>
        </w:trPr>
        <w:tc>
          <w:tcPr>
            <w:tcW w:w="560" w:type="dxa"/>
            <w:vAlign w:val="center"/>
          </w:tcPr>
          <w:p w:rsidR="00CE30C3" w:rsidRPr="001772A3" w:rsidRDefault="00CE30C3" w:rsidP="00EB4636">
            <w:pPr>
              <w:spacing w:before="120"/>
              <w:jc w:val="center"/>
              <w:rPr>
                <w:rFonts w:eastAsia="Times New Roman"/>
                <w:lang w:val="mn-MN"/>
              </w:rPr>
            </w:pPr>
            <w:r w:rsidRPr="001772A3">
              <w:rPr>
                <w:rFonts w:eastAsia="Times New Roman"/>
                <w:lang w:val="mn-MN"/>
              </w:rPr>
              <w:t>4</w:t>
            </w:r>
          </w:p>
        </w:tc>
        <w:tc>
          <w:tcPr>
            <w:tcW w:w="2530"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Дорноговь ЭХНҮ</w:t>
            </w:r>
          </w:p>
        </w:tc>
        <w:tc>
          <w:tcPr>
            <w:tcW w:w="1201"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32.7</w:t>
            </w:r>
          </w:p>
        </w:tc>
        <w:tc>
          <w:tcPr>
            <w:tcW w:w="1340"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33.0</w:t>
            </w:r>
          </w:p>
        </w:tc>
        <w:tc>
          <w:tcPr>
            <w:tcW w:w="1245"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29.5</w:t>
            </w:r>
          </w:p>
        </w:tc>
        <w:tc>
          <w:tcPr>
            <w:tcW w:w="1418"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1.5</w:t>
            </w:r>
          </w:p>
        </w:tc>
      </w:tr>
      <w:tr w:rsidR="00CE30C3" w:rsidRPr="001772A3" w:rsidTr="00EB4636">
        <w:trPr>
          <w:jc w:val="center"/>
        </w:trPr>
        <w:tc>
          <w:tcPr>
            <w:tcW w:w="560" w:type="dxa"/>
            <w:vAlign w:val="center"/>
          </w:tcPr>
          <w:p w:rsidR="00CE30C3" w:rsidRPr="001772A3" w:rsidRDefault="00CE30C3" w:rsidP="00EB4636">
            <w:pPr>
              <w:spacing w:before="120"/>
              <w:jc w:val="center"/>
              <w:rPr>
                <w:rFonts w:eastAsia="Times New Roman"/>
                <w:lang w:val="mn-MN"/>
              </w:rPr>
            </w:pPr>
            <w:r w:rsidRPr="001772A3">
              <w:rPr>
                <w:rFonts w:eastAsia="Times New Roman"/>
                <w:lang w:val="mn-MN"/>
              </w:rPr>
              <w:t>5</w:t>
            </w:r>
          </w:p>
        </w:tc>
        <w:tc>
          <w:tcPr>
            <w:tcW w:w="2530"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Чандмань бадрал ЭХНҮ</w:t>
            </w:r>
          </w:p>
        </w:tc>
        <w:tc>
          <w:tcPr>
            <w:tcW w:w="1201"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12.3</w:t>
            </w:r>
          </w:p>
        </w:tc>
        <w:tc>
          <w:tcPr>
            <w:tcW w:w="1340"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28.4</w:t>
            </w:r>
          </w:p>
        </w:tc>
        <w:tc>
          <w:tcPr>
            <w:tcW w:w="1245"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12.7</w:t>
            </w:r>
          </w:p>
        </w:tc>
        <w:tc>
          <w:tcPr>
            <w:tcW w:w="1418"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0.6</w:t>
            </w:r>
          </w:p>
        </w:tc>
      </w:tr>
      <w:tr w:rsidR="00CE30C3" w:rsidRPr="001772A3" w:rsidTr="00EB4636">
        <w:trPr>
          <w:jc w:val="center"/>
        </w:trPr>
        <w:tc>
          <w:tcPr>
            <w:tcW w:w="560" w:type="dxa"/>
            <w:vAlign w:val="center"/>
          </w:tcPr>
          <w:p w:rsidR="00CE30C3" w:rsidRPr="001772A3" w:rsidRDefault="00CE30C3" w:rsidP="00EB4636">
            <w:pPr>
              <w:spacing w:before="120"/>
              <w:jc w:val="center"/>
              <w:rPr>
                <w:rFonts w:eastAsia="Times New Roman"/>
                <w:lang w:val="mn-MN"/>
              </w:rPr>
            </w:pPr>
            <w:r w:rsidRPr="001772A3">
              <w:rPr>
                <w:rFonts w:eastAsia="Times New Roman"/>
                <w:lang w:val="mn-MN"/>
              </w:rPr>
              <w:t>6</w:t>
            </w:r>
          </w:p>
        </w:tc>
        <w:tc>
          <w:tcPr>
            <w:tcW w:w="2530"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Налайх ДС</w:t>
            </w:r>
          </w:p>
        </w:tc>
        <w:tc>
          <w:tcPr>
            <w:tcW w:w="1201"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13.9</w:t>
            </w:r>
          </w:p>
        </w:tc>
        <w:tc>
          <w:tcPr>
            <w:tcW w:w="1340"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11.1</w:t>
            </w:r>
          </w:p>
        </w:tc>
        <w:tc>
          <w:tcPr>
            <w:tcW w:w="1245"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31.2</w:t>
            </w:r>
          </w:p>
        </w:tc>
        <w:tc>
          <w:tcPr>
            <w:tcW w:w="1418"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1.6</w:t>
            </w:r>
          </w:p>
        </w:tc>
      </w:tr>
      <w:tr w:rsidR="00CE30C3" w:rsidRPr="001772A3" w:rsidTr="00EB4636">
        <w:trPr>
          <w:jc w:val="center"/>
        </w:trPr>
        <w:tc>
          <w:tcPr>
            <w:tcW w:w="560" w:type="dxa"/>
            <w:vAlign w:val="center"/>
          </w:tcPr>
          <w:p w:rsidR="00CE30C3" w:rsidRPr="001772A3" w:rsidRDefault="00CE30C3" w:rsidP="00EB4636">
            <w:pPr>
              <w:spacing w:before="120"/>
              <w:jc w:val="center"/>
              <w:rPr>
                <w:rFonts w:eastAsia="Times New Roman"/>
                <w:lang w:val="mn-MN"/>
              </w:rPr>
            </w:pPr>
            <w:r w:rsidRPr="001772A3">
              <w:rPr>
                <w:rFonts w:eastAsia="Times New Roman"/>
                <w:lang w:val="mn-MN"/>
              </w:rPr>
              <w:t>7</w:t>
            </w:r>
          </w:p>
        </w:tc>
        <w:tc>
          <w:tcPr>
            <w:tcW w:w="2530"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Говьсүмбэр</w:t>
            </w:r>
          </w:p>
        </w:tc>
        <w:tc>
          <w:tcPr>
            <w:tcW w:w="1201"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14.2</w:t>
            </w:r>
          </w:p>
        </w:tc>
        <w:tc>
          <w:tcPr>
            <w:tcW w:w="1340"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13.9</w:t>
            </w:r>
          </w:p>
        </w:tc>
        <w:tc>
          <w:tcPr>
            <w:tcW w:w="1245"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9.3</w:t>
            </w:r>
          </w:p>
        </w:tc>
        <w:tc>
          <w:tcPr>
            <w:tcW w:w="1418"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0.5</w:t>
            </w:r>
          </w:p>
        </w:tc>
      </w:tr>
      <w:tr w:rsidR="00CE30C3" w:rsidRPr="001772A3" w:rsidTr="00EB4636">
        <w:trPr>
          <w:jc w:val="center"/>
        </w:trPr>
        <w:tc>
          <w:tcPr>
            <w:tcW w:w="560" w:type="dxa"/>
            <w:vAlign w:val="center"/>
          </w:tcPr>
          <w:p w:rsidR="00CE30C3" w:rsidRPr="001772A3" w:rsidRDefault="00CE30C3" w:rsidP="00EB4636">
            <w:pPr>
              <w:spacing w:before="120"/>
              <w:jc w:val="center"/>
              <w:rPr>
                <w:rFonts w:eastAsia="Times New Roman"/>
                <w:lang w:val="mn-MN"/>
              </w:rPr>
            </w:pPr>
            <w:r w:rsidRPr="001772A3">
              <w:rPr>
                <w:rFonts w:eastAsia="Times New Roman"/>
                <w:lang w:val="mn-MN"/>
              </w:rPr>
              <w:t>8</w:t>
            </w:r>
          </w:p>
        </w:tc>
        <w:tc>
          <w:tcPr>
            <w:tcW w:w="2530"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Амгалан ДС</w:t>
            </w:r>
          </w:p>
        </w:tc>
        <w:tc>
          <w:tcPr>
            <w:tcW w:w="1201"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48.7</w:t>
            </w:r>
          </w:p>
        </w:tc>
        <w:tc>
          <w:tcPr>
            <w:tcW w:w="1340"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107.0</w:t>
            </w:r>
          </w:p>
        </w:tc>
        <w:tc>
          <w:tcPr>
            <w:tcW w:w="1245"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63.9</w:t>
            </w:r>
          </w:p>
        </w:tc>
        <w:tc>
          <w:tcPr>
            <w:tcW w:w="1418"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3.2</w:t>
            </w:r>
          </w:p>
        </w:tc>
      </w:tr>
      <w:tr w:rsidR="00CE30C3" w:rsidRPr="001772A3" w:rsidTr="00EB4636">
        <w:trPr>
          <w:jc w:val="center"/>
        </w:trPr>
        <w:tc>
          <w:tcPr>
            <w:tcW w:w="560" w:type="dxa"/>
            <w:vAlign w:val="center"/>
          </w:tcPr>
          <w:p w:rsidR="00CE30C3" w:rsidRPr="001772A3" w:rsidRDefault="00CE30C3" w:rsidP="00EB4636">
            <w:pPr>
              <w:spacing w:before="120"/>
              <w:jc w:val="center"/>
              <w:rPr>
                <w:rFonts w:eastAsia="Times New Roman"/>
                <w:lang w:val="mn-MN"/>
              </w:rPr>
            </w:pPr>
            <w:r w:rsidRPr="001772A3">
              <w:rPr>
                <w:rFonts w:eastAsia="Times New Roman"/>
                <w:lang w:val="mn-MN"/>
              </w:rPr>
              <w:t>9</w:t>
            </w:r>
          </w:p>
        </w:tc>
        <w:tc>
          <w:tcPr>
            <w:tcW w:w="2530"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Бусад</w:t>
            </w:r>
          </w:p>
        </w:tc>
        <w:tc>
          <w:tcPr>
            <w:tcW w:w="1201"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50.0</w:t>
            </w:r>
          </w:p>
        </w:tc>
        <w:tc>
          <w:tcPr>
            <w:tcW w:w="1340"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23.5</w:t>
            </w:r>
          </w:p>
        </w:tc>
        <w:tc>
          <w:tcPr>
            <w:tcW w:w="1245" w:type="dxa"/>
            <w:vAlign w:val="center"/>
          </w:tcPr>
          <w:p w:rsidR="00CE30C3" w:rsidRPr="001772A3" w:rsidRDefault="00CE30C3" w:rsidP="00EB4636">
            <w:pPr>
              <w:spacing w:before="120"/>
              <w:jc w:val="both"/>
              <w:rPr>
                <w:rFonts w:eastAsia="Times New Roman"/>
              </w:rPr>
            </w:pPr>
            <w:r w:rsidRPr="001772A3">
              <w:rPr>
                <w:rFonts w:eastAsia="Times New Roman"/>
                <w:lang w:val="mn-MN"/>
              </w:rPr>
              <w:t>63.9</w:t>
            </w:r>
          </w:p>
        </w:tc>
        <w:tc>
          <w:tcPr>
            <w:tcW w:w="1418" w:type="dxa"/>
            <w:vAlign w:val="center"/>
          </w:tcPr>
          <w:p w:rsidR="00CE30C3" w:rsidRPr="001772A3" w:rsidRDefault="00CE30C3" w:rsidP="00EB4636">
            <w:pPr>
              <w:spacing w:before="120"/>
              <w:jc w:val="both"/>
              <w:rPr>
                <w:rFonts w:eastAsia="Times New Roman"/>
                <w:lang w:val="mn-MN"/>
              </w:rPr>
            </w:pPr>
            <w:r w:rsidRPr="001772A3">
              <w:rPr>
                <w:rFonts w:eastAsia="Times New Roman"/>
                <w:lang w:val="mn-MN"/>
              </w:rPr>
              <w:t>3.0</w:t>
            </w:r>
          </w:p>
        </w:tc>
      </w:tr>
      <w:tr w:rsidR="00CE30C3" w:rsidRPr="001772A3" w:rsidTr="00EB4636">
        <w:trPr>
          <w:jc w:val="center"/>
        </w:trPr>
        <w:tc>
          <w:tcPr>
            <w:tcW w:w="3090" w:type="dxa"/>
            <w:gridSpan w:val="2"/>
            <w:vAlign w:val="center"/>
          </w:tcPr>
          <w:p w:rsidR="00CE30C3" w:rsidRPr="001772A3" w:rsidRDefault="00CE30C3" w:rsidP="00EB4636">
            <w:pPr>
              <w:spacing w:before="120"/>
              <w:jc w:val="both"/>
              <w:rPr>
                <w:rFonts w:eastAsia="Times New Roman"/>
                <w:b/>
                <w:bCs/>
                <w:lang w:val="mn-MN"/>
              </w:rPr>
            </w:pPr>
            <w:r w:rsidRPr="001772A3">
              <w:rPr>
                <w:rFonts w:eastAsia="Times New Roman"/>
                <w:b/>
                <w:bCs/>
                <w:lang w:val="mn-MN"/>
              </w:rPr>
              <w:t>Нийт дүн</w:t>
            </w:r>
          </w:p>
        </w:tc>
        <w:tc>
          <w:tcPr>
            <w:tcW w:w="1201" w:type="dxa"/>
            <w:vAlign w:val="center"/>
          </w:tcPr>
          <w:p w:rsidR="00CE30C3" w:rsidRPr="001772A3" w:rsidRDefault="00CE30C3" w:rsidP="00EB4636">
            <w:pPr>
              <w:spacing w:before="120"/>
              <w:jc w:val="both"/>
              <w:rPr>
                <w:rFonts w:eastAsia="Times New Roman"/>
                <w:b/>
                <w:bCs/>
                <w:lang w:val="mn-MN"/>
              </w:rPr>
            </w:pPr>
            <w:r w:rsidRPr="001772A3">
              <w:rPr>
                <w:rFonts w:eastAsia="Times New Roman"/>
                <w:b/>
                <w:bCs/>
                <w:lang w:val="mn-MN"/>
              </w:rPr>
              <w:t>1,880.9</w:t>
            </w:r>
          </w:p>
        </w:tc>
        <w:tc>
          <w:tcPr>
            <w:tcW w:w="1340" w:type="dxa"/>
            <w:vAlign w:val="center"/>
          </w:tcPr>
          <w:p w:rsidR="00CE30C3" w:rsidRPr="001772A3" w:rsidRDefault="00CE30C3" w:rsidP="00EB4636">
            <w:pPr>
              <w:spacing w:before="120"/>
              <w:jc w:val="both"/>
              <w:rPr>
                <w:rFonts w:eastAsia="Times New Roman"/>
                <w:b/>
                <w:bCs/>
                <w:lang w:val="mn-MN"/>
              </w:rPr>
            </w:pPr>
            <w:r w:rsidRPr="001772A3">
              <w:rPr>
                <w:rFonts w:eastAsia="Times New Roman"/>
                <w:b/>
                <w:bCs/>
                <w:lang w:val="mn-MN"/>
              </w:rPr>
              <w:t>1,950.0</w:t>
            </w:r>
          </w:p>
        </w:tc>
        <w:tc>
          <w:tcPr>
            <w:tcW w:w="1245" w:type="dxa"/>
            <w:vAlign w:val="center"/>
          </w:tcPr>
          <w:p w:rsidR="00CE30C3" w:rsidRPr="001772A3" w:rsidRDefault="00CE30C3" w:rsidP="00EB4636">
            <w:pPr>
              <w:spacing w:before="120"/>
              <w:jc w:val="both"/>
              <w:rPr>
                <w:rFonts w:eastAsia="Times New Roman"/>
                <w:b/>
                <w:bCs/>
                <w:lang w:val="mn-MN"/>
              </w:rPr>
            </w:pPr>
            <w:r w:rsidRPr="001772A3">
              <w:rPr>
                <w:rFonts w:eastAsia="Times New Roman"/>
                <w:b/>
                <w:bCs/>
                <w:lang w:val="mn-MN"/>
              </w:rPr>
              <w:t>2,020.3</w:t>
            </w:r>
          </w:p>
        </w:tc>
        <w:tc>
          <w:tcPr>
            <w:tcW w:w="1418" w:type="dxa"/>
            <w:vAlign w:val="center"/>
          </w:tcPr>
          <w:p w:rsidR="00CE30C3" w:rsidRPr="001772A3" w:rsidRDefault="00CE30C3" w:rsidP="00EB4636">
            <w:pPr>
              <w:spacing w:before="120"/>
              <w:jc w:val="both"/>
              <w:rPr>
                <w:rFonts w:eastAsia="Times New Roman"/>
                <w:b/>
                <w:bCs/>
                <w:lang w:val="mn-MN"/>
              </w:rPr>
            </w:pPr>
            <w:r w:rsidRPr="001772A3">
              <w:rPr>
                <w:rFonts w:eastAsia="Times New Roman"/>
                <w:b/>
                <w:bCs/>
                <w:lang w:val="mn-MN"/>
              </w:rPr>
              <w:t>100.0</w:t>
            </w:r>
          </w:p>
        </w:tc>
      </w:tr>
    </w:tbl>
    <w:p w:rsidR="00CE30C3" w:rsidRPr="001772A3" w:rsidRDefault="00CE30C3" w:rsidP="00CE30C3">
      <w:pPr>
        <w:spacing w:before="120" w:after="240" w:line="276" w:lineRule="auto"/>
        <w:jc w:val="center"/>
        <w:rPr>
          <w:rFonts w:eastAsiaTheme="minorHAnsi"/>
          <w:lang w:val="mn-MN"/>
        </w:rPr>
      </w:pPr>
      <w:r w:rsidRPr="001772A3">
        <w:rPr>
          <w:rFonts w:eastAsiaTheme="minorHAnsi"/>
          <w:b/>
          <w:lang w:val="mn-MN"/>
        </w:rPr>
        <w:t>ҮЙЛДВЭРЛЭЛИЙН ӨРТӨГ ЗАРДЛЫН ТАЛААР</w:t>
      </w:r>
    </w:p>
    <w:p w:rsidR="00CE30C3" w:rsidRPr="001772A3" w:rsidRDefault="00CE30C3" w:rsidP="00CE30C3">
      <w:pPr>
        <w:spacing w:after="120" w:line="276" w:lineRule="auto"/>
        <w:ind w:firstLine="567"/>
        <w:jc w:val="both"/>
        <w:rPr>
          <w:rFonts w:eastAsiaTheme="minorHAnsi"/>
          <w:lang w:val="mn-MN"/>
        </w:rPr>
      </w:pPr>
      <w:r w:rsidRPr="001772A3">
        <w:rPr>
          <w:rFonts w:eastAsiaTheme="minorHAnsi"/>
          <w:lang w:val="mn-MN"/>
        </w:rPr>
        <w:t xml:space="preserve">2017 оны гүйцэтгэлээр нүүрс борлуулалтын нийт зардал төлөвлөсөн хэмжээнээс 0.6 хувь буюу 297.9 сая төгрөгөөр өсч, өнгөрсөн оны мөн үеийнхээс 24.3 хувиар буюу 9,217.9 сая төгрөгөөр өссөн үзүүлэлт гарч байна. </w:t>
      </w:r>
    </w:p>
    <w:p w:rsidR="00CE30C3" w:rsidRPr="001772A3" w:rsidRDefault="00CE30C3" w:rsidP="00CE30C3">
      <w:pPr>
        <w:spacing w:after="120" w:line="276" w:lineRule="auto"/>
        <w:ind w:firstLine="567"/>
        <w:jc w:val="both"/>
        <w:rPr>
          <w:rFonts w:eastAsiaTheme="minorHAnsi"/>
          <w:lang w:val="mn-MN"/>
        </w:rPr>
      </w:pPr>
      <w:r w:rsidRPr="001772A3">
        <w:rPr>
          <w:rFonts w:eastAsiaTheme="minorHAnsi"/>
          <w:lang w:val="mn-MN"/>
        </w:rPr>
        <w:t>Энэ хугацаанд нэг тонн нүүрсийг 23,360.1 төгрөгөөр олборлон 24,284.8 төгрөгөөр борлууллаа. Нүүрс борлуулалтын дундаж үнэ нэгж тутмаас 241.6 төгрөгөөр буурсан нь нүүрсний дундаж илчлэгтэй холбоотой бөгөөд төлөвлөснөөс ийнхүү буурсан ч өнгөрсөн оны мөн үеэс 1,554.8 төгрөгөөр нэмэгдсэн байна.</w:t>
      </w:r>
    </w:p>
    <w:p w:rsidR="00CE30C3" w:rsidRPr="001772A3" w:rsidRDefault="00CE30C3" w:rsidP="00CE30C3">
      <w:pPr>
        <w:spacing w:after="120" w:line="276" w:lineRule="auto"/>
        <w:ind w:firstLine="567"/>
        <w:jc w:val="both"/>
        <w:rPr>
          <w:rFonts w:eastAsiaTheme="minorHAnsi"/>
          <w:lang w:val="mn-MN"/>
        </w:rPr>
      </w:pPr>
      <w:r w:rsidRPr="001772A3">
        <w:rPr>
          <w:rFonts w:eastAsiaTheme="minorHAnsi"/>
          <w:lang w:val="mn-MN"/>
        </w:rPr>
        <w:t xml:space="preserve">Мөн уулын цулын нэгжийн өртөг төлөвлөсөн хэмжээнээс 1.1 хувь буюу 39.9 төгрөгөөр, өнгөрсөн оны мөн үеийн түвшингөөс 12.3 хувь 393.5 төгрөгөөр тус тус өссөн байна. </w:t>
      </w:r>
    </w:p>
    <w:p w:rsidR="00CE30C3" w:rsidRPr="001772A3" w:rsidRDefault="00CE30C3" w:rsidP="00CE30C3">
      <w:pPr>
        <w:spacing w:after="120" w:line="276" w:lineRule="auto"/>
        <w:ind w:firstLine="567"/>
        <w:rPr>
          <w:rFonts w:eastAsiaTheme="minorHAnsi"/>
          <w:lang w:val="mn-MN"/>
        </w:rPr>
      </w:pPr>
      <w:r w:rsidRPr="001772A3">
        <w:rPr>
          <w:rFonts w:eastAsiaTheme="minorHAnsi"/>
          <w:lang w:val="mn-MN"/>
        </w:rPr>
        <w:t>Техник-эдийн засгийн үзүүлэлтийг хүснэгтээр үзүүлэв.</w:t>
      </w:r>
    </w:p>
    <w:p w:rsidR="00CE30C3" w:rsidRPr="001772A3" w:rsidRDefault="00CE30C3" w:rsidP="00CE30C3">
      <w:pPr>
        <w:spacing w:after="120" w:line="276" w:lineRule="auto"/>
        <w:rPr>
          <w:rFonts w:eastAsiaTheme="minorHAnsi"/>
          <w:lang w:val="mn-MN"/>
        </w:rPr>
      </w:pPr>
      <w:r w:rsidRPr="001772A3">
        <w:rPr>
          <w:rFonts w:eastAsiaTheme="minorHAnsi"/>
          <w:noProof/>
        </w:rPr>
        <w:lastRenderedPageBreak/>
        <w:drawing>
          <wp:inline distT="0" distB="0" distL="0" distR="0" wp14:anchorId="0F1C061E" wp14:editId="41235536">
            <wp:extent cx="6300470" cy="652003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470" cy="6520039"/>
                    </a:xfrm>
                    <a:prstGeom prst="rect">
                      <a:avLst/>
                    </a:prstGeom>
                    <a:noFill/>
                    <a:ln>
                      <a:noFill/>
                    </a:ln>
                  </pic:spPr>
                </pic:pic>
              </a:graphicData>
            </a:graphic>
          </wp:inline>
        </w:drawing>
      </w:r>
    </w:p>
    <w:p w:rsidR="00CE30C3" w:rsidRPr="001772A3" w:rsidRDefault="00CE30C3" w:rsidP="00CE30C3">
      <w:pPr>
        <w:spacing w:after="120" w:line="276" w:lineRule="auto"/>
        <w:jc w:val="center"/>
        <w:rPr>
          <w:rFonts w:eastAsiaTheme="minorHAnsi"/>
          <w:b/>
          <w:bCs/>
          <w:lang w:val="mn-MN"/>
        </w:rPr>
      </w:pPr>
    </w:p>
    <w:p w:rsidR="00CE30C3" w:rsidRPr="001772A3" w:rsidRDefault="00CE30C3" w:rsidP="00CE30C3">
      <w:pPr>
        <w:spacing w:after="120" w:line="276" w:lineRule="auto"/>
        <w:jc w:val="center"/>
        <w:rPr>
          <w:rFonts w:eastAsiaTheme="minorHAnsi"/>
          <w:b/>
          <w:bCs/>
          <w:lang w:val="mn-MN"/>
        </w:rPr>
      </w:pPr>
      <w:r w:rsidRPr="001772A3">
        <w:rPr>
          <w:rFonts w:eastAsiaTheme="minorHAnsi"/>
          <w:b/>
          <w:bCs/>
          <w:lang w:val="mn-MN"/>
        </w:rPr>
        <w:t xml:space="preserve"> </w:t>
      </w:r>
      <w:r w:rsidRPr="001772A3">
        <w:rPr>
          <w:rFonts w:eastAsiaTheme="minorHAnsi"/>
          <w:b/>
          <w:bCs/>
        </w:rPr>
        <w:t>У</w:t>
      </w:r>
      <w:r w:rsidRPr="001772A3">
        <w:rPr>
          <w:rFonts w:eastAsiaTheme="minorHAnsi"/>
          <w:b/>
          <w:bCs/>
          <w:lang w:val="mn-MN"/>
        </w:rPr>
        <w:t>ДИРДЛАГЫН ҮЙЛ АЖИЛЛАГААНЫ ЗАРДЛЫН ТАЛААР</w:t>
      </w:r>
    </w:p>
    <w:p w:rsidR="00CE30C3" w:rsidRPr="001772A3" w:rsidRDefault="00CE30C3" w:rsidP="00CE30C3">
      <w:pPr>
        <w:spacing w:after="120" w:line="276" w:lineRule="auto"/>
        <w:jc w:val="both"/>
        <w:rPr>
          <w:rFonts w:eastAsiaTheme="minorHAnsi"/>
          <w:lang w:val="mn-MN"/>
        </w:rPr>
      </w:pPr>
      <w:r w:rsidRPr="001772A3">
        <w:rPr>
          <w:rFonts w:eastAsiaTheme="minorHAnsi"/>
          <w:noProof/>
          <w:color w:val="000000" w:themeColor="text1"/>
        </w:rPr>
        <w:lastRenderedPageBreak/>
        <w:drawing>
          <wp:inline distT="0" distB="0" distL="0" distR="0" wp14:anchorId="0388C7D2" wp14:editId="3166768B">
            <wp:extent cx="5938974" cy="311133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004" cy="3113970"/>
                    </a:xfrm>
                    <a:prstGeom prst="rect">
                      <a:avLst/>
                    </a:prstGeom>
                    <a:noFill/>
                    <a:ln>
                      <a:noFill/>
                    </a:ln>
                  </pic:spPr>
                </pic:pic>
              </a:graphicData>
            </a:graphic>
          </wp:inline>
        </w:drawing>
      </w:r>
    </w:p>
    <w:p w:rsidR="00CE30C3" w:rsidRPr="001772A3" w:rsidRDefault="00CE30C3" w:rsidP="00CE30C3">
      <w:pPr>
        <w:spacing w:before="120" w:after="240" w:line="276" w:lineRule="auto"/>
        <w:ind w:firstLine="720"/>
        <w:jc w:val="both"/>
        <w:rPr>
          <w:rFonts w:eastAsiaTheme="minorHAnsi"/>
          <w:color w:val="000000" w:themeColor="text1"/>
          <w:lang w:val="mn-MN"/>
        </w:rPr>
      </w:pPr>
      <w:r w:rsidRPr="001772A3">
        <w:rPr>
          <w:rFonts w:eastAsiaTheme="minorHAnsi"/>
          <w:b/>
          <w:bCs/>
          <w:color w:val="000000" w:themeColor="text1"/>
          <w:lang w:val="mn-MN"/>
        </w:rPr>
        <w:t xml:space="preserve">Удирдлагын цалингийн зардал: </w:t>
      </w:r>
      <w:r w:rsidRPr="001772A3">
        <w:rPr>
          <w:rFonts w:eastAsiaTheme="minorHAnsi"/>
          <w:color w:val="000000" w:themeColor="text1"/>
          <w:lang w:val="mn-MN"/>
        </w:rPr>
        <w:t>2017 оны  1 дүгээр сард ажилчдын цалинг 10 хувиар нэмэгдүүлсэнтэй холбогдуулан  гарсан зардал бөгөөд шинэ үндсэн хөрөнгө, бараа материал худалдаж авсан /компьютер түүний дагалдах хэрэгсэл, принтер/-тай  холбогдуулан хөрөнгийн элэгдэл хэтэрсэн.</w:t>
      </w:r>
    </w:p>
    <w:p w:rsidR="00CE30C3" w:rsidRPr="001772A3" w:rsidRDefault="00CE30C3" w:rsidP="00CE30C3">
      <w:pPr>
        <w:spacing w:before="120" w:after="240" w:line="276" w:lineRule="auto"/>
        <w:ind w:firstLine="720"/>
        <w:jc w:val="both"/>
        <w:rPr>
          <w:rFonts w:eastAsiaTheme="minorHAnsi"/>
          <w:color w:val="000000" w:themeColor="text1"/>
          <w:lang w:val="mn-MN"/>
        </w:rPr>
      </w:pPr>
      <w:r w:rsidRPr="001772A3">
        <w:rPr>
          <w:rFonts w:eastAsiaTheme="minorHAnsi"/>
          <w:b/>
          <w:bCs/>
          <w:color w:val="000000" w:themeColor="text1"/>
          <w:lang w:val="mn-MN"/>
        </w:rPr>
        <w:t xml:space="preserve">Харуул хамгаалалтын зардал: </w:t>
      </w:r>
      <w:r w:rsidRPr="001772A3">
        <w:rPr>
          <w:rFonts w:eastAsiaTheme="minorHAnsi"/>
          <w:color w:val="000000" w:themeColor="text1"/>
          <w:lang w:val="mn-MN"/>
        </w:rPr>
        <w:t xml:space="preserve">Хамгаалалтын нэмэлт цэг ус шүүрүүлэлтийн байршил болон тэсрэх бодисын үйлдвэрийн байршилд байнгын, нүүрсний хэмжилтийн цэг дээр улирлын чанартай хамгаалалт нэмж ажиллуулсанаар зардал хэтэрсэн бол </w:t>
      </w:r>
      <w:r w:rsidRPr="001772A3">
        <w:rPr>
          <w:rFonts w:eastAsiaTheme="minorHAnsi"/>
          <w:b/>
          <w:bCs/>
          <w:color w:val="000000" w:themeColor="text1"/>
          <w:lang w:val="mn-MN"/>
        </w:rPr>
        <w:t xml:space="preserve">Албан томилолтын зардал: </w:t>
      </w:r>
      <w:r w:rsidRPr="001772A3">
        <w:rPr>
          <w:rFonts w:eastAsiaTheme="minorHAnsi"/>
          <w:color w:val="000000" w:themeColor="text1"/>
          <w:lang w:val="mn-MN"/>
        </w:rPr>
        <w:t>Хөрөнгө оруулалт, техник зохион байгуулалтын арга хэмжээний төлөвлөгөөний тодотголоор албан томилолтын зардал нэмэгдсэнтэй холбоотой.</w:t>
      </w:r>
    </w:p>
    <w:p w:rsidR="00CE30C3" w:rsidRPr="001772A3" w:rsidRDefault="00CE30C3" w:rsidP="00CE30C3">
      <w:pPr>
        <w:spacing w:before="120" w:after="240" w:line="276" w:lineRule="auto"/>
        <w:ind w:firstLine="720"/>
        <w:jc w:val="both"/>
        <w:rPr>
          <w:rFonts w:eastAsiaTheme="minorHAnsi"/>
          <w:color w:val="000000" w:themeColor="text1"/>
          <w:lang w:val="mn-MN"/>
        </w:rPr>
      </w:pPr>
      <w:r w:rsidRPr="001772A3">
        <w:rPr>
          <w:rFonts w:eastAsiaTheme="minorHAnsi"/>
          <w:b/>
          <w:bCs/>
          <w:color w:val="000000" w:themeColor="text1"/>
          <w:lang w:val="mn-MN"/>
        </w:rPr>
        <w:t>Аудитын зардал:</w:t>
      </w:r>
      <w:r w:rsidRPr="001772A3">
        <w:rPr>
          <w:rFonts w:eastAsiaTheme="minorHAnsi"/>
          <w:color w:val="000000" w:themeColor="text1"/>
          <w:lang w:val="mn-MN"/>
        </w:rPr>
        <w:t xml:space="preserve"> Аудитын ажлын хөлсийг 14.5 сая төгрөгөөр төлөвлөсөн боловч Үндэсний Аудитын газраас гүйцэтгэгчийг сонгон шалгаруулж 44.0 сая төгрөгөөр гэрээ байгуулж аудит хийлгэсэн болно. </w:t>
      </w:r>
      <w:r w:rsidRPr="001772A3">
        <w:rPr>
          <w:rFonts w:eastAsiaTheme="minorHAnsi"/>
          <w:b/>
          <w:bCs/>
          <w:color w:val="000000" w:themeColor="text1"/>
          <w:lang w:val="mn-MN"/>
        </w:rPr>
        <w:t xml:space="preserve">Удирдлагын бусад зардал: </w:t>
      </w:r>
      <w:r w:rsidRPr="001772A3">
        <w:rPr>
          <w:rFonts w:eastAsiaTheme="minorHAnsi"/>
          <w:color w:val="000000" w:themeColor="text1"/>
          <w:lang w:val="mn-MN"/>
        </w:rPr>
        <w:t>Зээл олголтын шимтгэл 35 сая төгрөг, гүний цооногийн геофизикийн судалгааны ажил 58 сая төгрөг, Wirtgen 22000/3800 үйлдвэрлэлийн туршилтын ажил 26 сая төгрөг, төлөөлөгчийн газрын засварт 5 сая төгрөг, ТДХ-ийн цайны газрын зураг төслийн ажил 20 сая төгрөг, диспетчерийн байр засварт 12 сая төгрөг, Санхүүгийн програм 25 сая төгрөг гэх зэрэг төлөвлөгдөөгүй болон тодотголд тусгагдсан зардлууд гарсантай холбоотой.</w:t>
      </w:r>
    </w:p>
    <w:p w:rsidR="00CE30C3" w:rsidRPr="001772A3" w:rsidRDefault="00CE30C3" w:rsidP="00CE30C3">
      <w:pPr>
        <w:spacing w:before="120" w:line="276" w:lineRule="auto"/>
        <w:ind w:firstLine="720"/>
        <w:jc w:val="center"/>
        <w:rPr>
          <w:rFonts w:eastAsia="Times New Roman"/>
          <w:b/>
          <w:lang w:val="mn-MN"/>
        </w:rPr>
      </w:pPr>
      <w:r w:rsidRPr="001772A3">
        <w:rPr>
          <w:rFonts w:eastAsia="Times New Roman"/>
          <w:b/>
          <w:lang w:val="mn-MN"/>
        </w:rPr>
        <w:t>Ашиг алдагдлын үзүүлэлт</w:t>
      </w:r>
    </w:p>
    <w:tbl>
      <w:tblPr>
        <w:tblStyle w:val="TableGrid2"/>
        <w:tblW w:w="0" w:type="auto"/>
        <w:jc w:val="center"/>
        <w:tblLook w:val="04A0" w:firstRow="1" w:lastRow="0" w:firstColumn="1" w:lastColumn="0" w:noHBand="0" w:noVBand="1"/>
      </w:tblPr>
      <w:tblGrid>
        <w:gridCol w:w="458"/>
        <w:gridCol w:w="3254"/>
        <w:gridCol w:w="1701"/>
        <w:gridCol w:w="1933"/>
        <w:gridCol w:w="1814"/>
      </w:tblGrid>
      <w:tr w:rsidR="00CE30C3" w:rsidRPr="001772A3" w:rsidTr="00EB4636">
        <w:trPr>
          <w:jc w:val="center"/>
        </w:trPr>
        <w:tc>
          <w:tcPr>
            <w:tcW w:w="458" w:type="dxa"/>
          </w:tcPr>
          <w:p w:rsidR="00CE30C3" w:rsidRPr="001772A3" w:rsidRDefault="00CE30C3" w:rsidP="00EB4636">
            <w:pPr>
              <w:spacing w:line="276" w:lineRule="auto"/>
              <w:jc w:val="both"/>
              <w:rPr>
                <w:b/>
                <w:lang w:val="mn-MN"/>
              </w:rPr>
            </w:pPr>
            <w:r w:rsidRPr="001772A3">
              <w:rPr>
                <w:b/>
                <w:lang w:val="mn-MN"/>
              </w:rPr>
              <w:t>№</w:t>
            </w:r>
          </w:p>
        </w:tc>
        <w:tc>
          <w:tcPr>
            <w:tcW w:w="3254" w:type="dxa"/>
          </w:tcPr>
          <w:p w:rsidR="00CE30C3" w:rsidRPr="001772A3" w:rsidRDefault="00CE30C3" w:rsidP="00EB4636">
            <w:pPr>
              <w:spacing w:line="276" w:lineRule="auto"/>
              <w:jc w:val="both"/>
              <w:rPr>
                <w:b/>
                <w:lang w:val="mn-MN"/>
              </w:rPr>
            </w:pPr>
            <w:r w:rsidRPr="001772A3">
              <w:rPr>
                <w:b/>
                <w:lang w:val="mn-MN"/>
              </w:rPr>
              <w:t>Үзүүлэлт</w:t>
            </w:r>
          </w:p>
        </w:tc>
        <w:tc>
          <w:tcPr>
            <w:tcW w:w="1701" w:type="dxa"/>
          </w:tcPr>
          <w:p w:rsidR="00CE30C3" w:rsidRPr="001772A3" w:rsidRDefault="00CE30C3" w:rsidP="00EB4636">
            <w:pPr>
              <w:spacing w:line="276" w:lineRule="auto"/>
              <w:jc w:val="both"/>
              <w:rPr>
                <w:b/>
                <w:lang w:val="mn-MN"/>
              </w:rPr>
            </w:pPr>
            <w:r w:rsidRPr="001772A3">
              <w:rPr>
                <w:b/>
                <w:lang w:val="mn-MN"/>
              </w:rPr>
              <w:t>Хэмжих нэгж</w:t>
            </w:r>
          </w:p>
        </w:tc>
        <w:tc>
          <w:tcPr>
            <w:tcW w:w="1933" w:type="dxa"/>
          </w:tcPr>
          <w:p w:rsidR="00CE30C3" w:rsidRPr="001772A3" w:rsidRDefault="00CE30C3" w:rsidP="00EB4636">
            <w:pPr>
              <w:spacing w:line="276" w:lineRule="auto"/>
              <w:jc w:val="both"/>
              <w:rPr>
                <w:b/>
                <w:lang w:val="mn-MN"/>
              </w:rPr>
            </w:pPr>
            <w:r w:rsidRPr="001772A3">
              <w:rPr>
                <w:b/>
                <w:lang w:val="mn-MN"/>
              </w:rPr>
              <w:t>2017 оны төлөв</w:t>
            </w:r>
          </w:p>
        </w:tc>
        <w:tc>
          <w:tcPr>
            <w:tcW w:w="1814" w:type="dxa"/>
          </w:tcPr>
          <w:p w:rsidR="00CE30C3" w:rsidRPr="001772A3" w:rsidRDefault="00CE30C3" w:rsidP="00EB4636">
            <w:pPr>
              <w:spacing w:line="276" w:lineRule="auto"/>
              <w:jc w:val="both"/>
              <w:rPr>
                <w:b/>
                <w:lang w:val="mn-MN"/>
              </w:rPr>
            </w:pPr>
            <w:r w:rsidRPr="001772A3">
              <w:rPr>
                <w:b/>
                <w:lang w:val="mn-MN"/>
              </w:rPr>
              <w:t>2017 оны гүйц</w:t>
            </w:r>
          </w:p>
        </w:tc>
      </w:tr>
      <w:tr w:rsidR="00CE30C3" w:rsidRPr="001772A3" w:rsidTr="00EB4636">
        <w:trPr>
          <w:trHeight w:val="90"/>
          <w:jc w:val="center"/>
        </w:trPr>
        <w:tc>
          <w:tcPr>
            <w:tcW w:w="458" w:type="dxa"/>
          </w:tcPr>
          <w:p w:rsidR="00CE30C3" w:rsidRPr="001772A3" w:rsidRDefault="00CE30C3" w:rsidP="00EB4636">
            <w:pPr>
              <w:spacing w:line="276" w:lineRule="auto"/>
              <w:jc w:val="both"/>
              <w:rPr>
                <w:lang w:val="mn-MN"/>
              </w:rPr>
            </w:pPr>
            <w:r w:rsidRPr="001772A3">
              <w:rPr>
                <w:lang w:val="mn-MN"/>
              </w:rPr>
              <w:t>1</w:t>
            </w:r>
          </w:p>
        </w:tc>
        <w:tc>
          <w:tcPr>
            <w:tcW w:w="3254" w:type="dxa"/>
          </w:tcPr>
          <w:p w:rsidR="00CE30C3" w:rsidRPr="001772A3" w:rsidRDefault="00CE30C3" w:rsidP="00EB4636">
            <w:pPr>
              <w:spacing w:line="276" w:lineRule="auto"/>
              <w:jc w:val="both"/>
              <w:rPr>
                <w:lang w:val="mn-MN"/>
              </w:rPr>
            </w:pPr>
            <w:r w:rsidRPr="001772A3">
              <w:rPr>
                <w:lang w:val="mn-MN"/>
              </w:rPr>
              <w:t>Борлуулалтын орлого</w:t>
            </w:r>
          </w:p>
        </w:tc>
        <w:tc>
          <w:tcPr>
            <w:tcW w:w="1701" w:type="dxa"/>
          </w:tcPr>
          <w:p w:rsidR="00CE30C3" w:rsidRPr="001772A3" w:rsidRDefault="00CE30C3" w:rsidP="00EB4636">
            <w:pPr>
              <w:spacing w:line="276" w:lineRule="auto"/>
              <w:jc w:val="both"/>
              <w:rPr>
                <w:lang w:val="mn-MN"/>
              </w:rPr>
            </w:pPr>
            <w:r w:rsidRPr="001772A3">
              <w:rPr>
                <w:lang w:val="mn-MN"/>
              </w:rPr>
              <w:t>мян.төг</w:t>
            </w:r>
          </w:p>
        </w:tc>
        <w:tc>
          <w:tcPr>
            <w:tcW w:w="1933" w:type="dxa"/>
          </w:tcPr>
          <w:p w:rsidR="00CE30C3" w:rsidRPr="001772A3" w:rsidRDefault="00CE30C3" w:rsidP="00EB4636">
            <w:pPr>
              <w:spacing w:line="276" w:lineRule="auto"/>
              <w:rPr>
                <w:lang w:val="mn-MN"/>
              </w:rPr>
            </w:pPr>
            <w:r w:rsidRPr="001772A3">
              <w:rPr>
                <w:lang w:val="mn-MN"/>
              </w:rPr>
              <w:t>47,826,452.7</w:t>
            </w:r>
          </w:p>
        </w:tc>
        <w:tc>
          <w:tcPr>
            <w:tcW w:w="1814" w:type="dxa"/>
          </w:tcPr>
          <w:p w:rsidR="00CE30C3" w:rsidRPr="001772A3" w:rsidRDefault="00CE30C3" w:rsidP="00EB4636">
            <w:pPr>
              <w:spacing w:line="276" w:lineRule="auto"/>
              <w:rPr>
                <w:lang w:val="mn-MN"/>
              </w:rPr>
            </w:pPr>
            <w:r w:rsidRPr="001772A3">
              <w:rPr>
                <w:lang w:val="mn-MN"/>
              </w:rPr>
              <w:t>49,062,186.2</w:t>
            </w:r>
          </w:p>
        </w:tc>
      </w:tr>
      <w:tr w:rsidR="00CE30C3" w:rsidRPr="001772A3" w:rsidTr="00EB4636">
        <w:trPr>
          <w:trHeight w:val="124"/>
          <w:jc w:val="center"/>
        </w:trPr>
        <w:tc>
          <w:tcPr>
            <w:tcW w:w="458" w:type="dxa"/>
          </w:tcPr>
          <w:p w:rsidR="00CE30C3" w:rsidRPr="001772A3" w:rsidRDefault="00CE30C3" w:rsidP="00EB4636">
            <w:pPr>
              <w:spacing w:line="276" w:lineRule="auto"/>
              <w:jc w:val="both"/>
              <w:rPr>
                <w:lang w:val="mn-MN"/>
              </w:rPr>
            </w:pPr>
            <w:r w:rsidRPr="001772A3">
              <w:rPr>
                <w:lang w:val="mn-MN"/>
              </w:rPr>
              <w:t>2</w:t>
            </w:r>
          </w:p>
        </w:tc>
        <w:tc>
          <w:tcPr>
            <w:tcW w:w="3254" w:type="dxa"/>
            <w:vAlign w:val="center"/>
          </w:tcPr>
          <w:p w:rsidR="00CE30C3" w:rsidRPr="001772A3" w:rsidRDefault="00CE30C3" w:rsidP="00EB4636">
            <w:pPr>
              <w:spacing w:line="276" w:lineRule="auto"/>
              <w:rPr>
                <w:bCs/>
                <w:lang w:val="mn-MN"/>
              </w:rPr>
            </w:pPr>
            <w:r w:rsidRPr="001772A3">
              <w:rPr>
                <w:bCs/>
                <w:lang w:val="mn-MN"/>
              </w:rPr>
              <w:t>Үйлдвэрлэлийн зардал</w:t>
            </w:r>
          </w:p>
        </w:tc>
        <w:tc>
          <w:tcPr>
            <w:tcW w:w="1701" w:type="dxa"/>
          </w:tcPr>
          <w:p w:rsidR="00CE30C3" w:rsidRPr="001772A3" w:rsidRDefault="00CE30C3" w:rsidP="00EB4636">
            <w:pPr>
              <w:spacing w:line="276" w:lineRule="auto"/>
              <w:rPr>
                <w:lang w:val="mn-MN"/>
              </w:rPr>
            </w:pPr>
            <w:r w:rsidRPr="001772A3">
              <w:rPr>
                <w:lang w:val="mn-MN"/>
              </w:rPr>
              <w:t>мян.төг</w:t>
            </w:r>
          </w:p>
        </w:tc>
        <w:tc>
          <w:tcPr>
            <w:tcW w:w="1933" w:type="dxa"/>
          </w:tcPr>
          <w:p w:rsidR="00CE30C3" w:rsidRPr="001772A3" w:rsidRDefault="00CE30C3" w:rsidP="00EB4636">
            <w:pPr>
              <w:spacing w:line="276" w:lineRule="auto"/>
              <w:rPr>
                <w:bCs/>
                <w:lang w:val="mn-MN"/>
              </w:rPr>
            </w:pPr>
            <w:r w:rsidRPr="001772A3">
              <w:rPr>
                <w:lang w:val="mn-MN"/>
              </w:rPr>
              <w:t>46,895,930.5</w:t>
            </w:r>
          </w:p>
        </w:tc>
        <w:tc>
          <w:tcPr>
            <w:tcW w:w="1814" w:type="dxa"/>
            <w:vAlign w:val="center"/>
          </w:tcPr>
          <w:p w:rsidR="00CE30C3" w:rsidRPr="001772A3" w:rsidRDefault="00CE30C3" w:rsidP="00EB4636">
            <w:pPr>
              <w:spacing w:line="276" w:lineRule="auto"/>
              <w:rPr>
                <w:bCs/>
                <w:lang w:val="mn-MN"/>
              </w:rPr>
            </w:pPr>
            <w:r w:rsidRPr="001772A3">
              <w:rPr>
                <w:bCs/>
                <w:lang w:val="mn-MN"/>
              </w:rPr>
              <w:t>47,193,869.8</w:t>
            </w:r>
          </w:p>
        </w:tc>
      </w:tr>
      <w:tr w:rsidR="00CE30C3" w:rsidRPr="001772A3" w:rsidTr="00EB4636">
        <w:trPr>
          <w:trHeight w:val="330"/>
          <w:jc w:val="center"/>
        </w:trPr>
        <w:tc>
          <w:tcPr>
            <w:tcW w:w="458" w:type="dxa"/>
          </w:tcPr>
          <w:p w:rsidR="00CE30C3" w:rsidRPr="001772A3" w:rsidRDefault="00CE30C3" w:rsidP="00EB4636">
            <w:pPr>
              <w:spacing w:line="276" w:lineRule="auto"/>
              <w:jc w:val="both"/>
              <w:rPr>
                <w:b/>
                <w:bCs/>
                <w:lang w:val="mn-MN"/>
              </w:rPr>
            </w:pPr>
            <w:r w:rsidRPr="001772A3">
              <w:rPr>
                <w:b/>
                <w:bCs/>
                <w:lang w:val="mn-MN"/>
              </w:rPr>
              <w:t>3</w:t>
            </w:r>
          </w:p>
        </w:tc>
        <w:tc>
          <w:tcPr>
            <w:tcW w:w="3254" w:type="dxa"/>
            <w:vAlign w:val="center"/>
          </w:tcPr>
          <w:p w:rsidR="00CE30C3" w:rsidRPr="001772A3" w:rsidRDefault="00CE30C3" w:rsidP="00EB4636">
            <w:pPr>
              <w:spacing w:line="276" w:lineRule="auto"/>
              <w:rPr>
                <w:b/>
                <w:bCs/>
                <w:lang w:val="mn-MN"/>
              </w:rPr>
            </w:pPr>
            <w:r w:rsidRPr="001772A3">
              <w:rPr>
                <w:b/>
                <w:bCs/>
                <w:lang w:val="mn-MN"/>
              </w:rPr>
              <w:t>Борлуулалтын ашиг</w:t>
            </w:r>
          </w:p>
        </w:tc>
        <w:tc>
          <w:tcPr>
            <w:tcW w:w="1701" w:type="dxa"/>
          </w:tcPr>
          <w:p w:rsidR="00CE30C3" w:rsidRPr="001772A3" w:rsidRDefault="00CE30C3" w:rsidP="00EB4636">
            <w:pPr>
              <w:spacing w:line="276" w:lineRule="auto"/>
              <w:rPr>
                <w:b/>
                <w:bCs/>
                <w:lang w:val="mn-MN"/>
              </w:rPr>
            </w:pPr>
            <w:r w:rsidRPr="001772A3">
              <w:rPr>
                <w:b/>
                <w:bCs/>
                <w:lang w:val="mn-MN"/>
              </w:rPr>
              <w:t>мян.төг</w:t>
            </w:r>
          </w:p>
        </w:tc>
        <w:tc>
          <w:tcPr>
            <w:tcW w:w="1933" w:type="dxa"/>
          </w:tcPr>
          <w:p w:rsidR="00CE30C3" w:rsidRPr="001772A3" w:rsidRDefault="00CE30C3" w:rsidP="00EB4636">
            <w:pPr>
              <w:spacing w:line="276" w:lineRule="auto"/>
              <w:rPr>
                <w:b/>
                <w:bCs/>
                <w:lang w:val="mn-MN"/>
              </w:rPr>
            </w:pPr>
            <w:r w:rsidRPr="001772A3">
              <w:rPr>
                <w:b/>
                <w:bCs/>
                <w:lang w:val="mn-MN"/>
              </w:rPr>
              <w:t>930,522.2</w:t>
            </w:r>
          </w:p>
        </w:tc>
        <w:tc>
          <w:tcPr>
            <w:tcW w:w="1814" w:type="dxa"/>
            <w:vAlign w:val="center"/>
          </w:tcPr>
          <w:p w:rsidR="00CE30C3" w:rsidRPr="001772A3" w:rsidRDefault="00CE30C3" w:rsidP="00EB4636">
            <w:pPr>
              <w:spacing w:line="276" w:lineRule="auto"/>
              <w:rPr>
                <w:b/>
                <w:bCs/>
                <w:lang w:val="mn-MN"/>
              </w:rPr>
            </w:pPr>
            <w:r w:rsidRPr="001772A3">
              <w:rPr>
                <w:b/>
                <w:bCs/>
                <w:lang w:val="mn-MN"/>
              </w:rPr>
              <w:t>1,868,316.4</w:t>
            </w:r>
          </w:p>
        </w:tc>
      </w:tr>
      <w:tr w:rsidR="00CE30C3" w:rsidRPr="001772A3" w:rsidTr="00EB4636">
        <w:trPr>
          <w:jc w:val="center"/>
        </w:trPr>
        <w:tc>
          <w:tcPr>
            <w:tcW w:w="458" w:type="dxa"/>
          </w:tcPr>
          <w:p w:rsidR="00CE30C3" w:rsidRPr="001772A3" w:rsidRDefault="00CE30C3" w:rsidP="00EB4636">
            <w:pPr>
              <w:spacing w:line="276" w:lineRule="auto"/>
              <w:jc w:val="both"/>
              <w:rPr>
                <w:lang w:val="mn-MN"/>
              </w:rPr>
            </w:pPr>
            <w:r w:rsidRPr="001772A3">
              <w:rPr>
                <w:lang w:val="mn-MN"/>
              </w:rPr>
              <w:t>4</w:t>
            </w:r>
          </w:p>
        </w:tc>
        <w:tc>
          <w:tcPr>
            <w:tcW w:w="3254" w:type="dxa"/>
            <w:vAlign w:val="center"/>
          </w:tcPr>
          <w:p w:rsidR="00CE30C3" w:rsidRPr="001772A3" w:rsidRDefault="00CE30C3" w:rsidP="00EB4636">
            <w:pPr>
              <w:spacing w:line="276" w:lineRule="auto"/>
              <w:rPr>
                <w:bCs/>
                <w:lang w:val="mn-MN"/>
              </w:rPr>
            </w:pPr>
            <w:r w:rsidRPr="001772A3">
              <w:rPr>
                <w:bCs/>
                <w:lang w:val="mn-MN"/>
              </w:rPr>
              <w:t>Үйл ажиллагааны бус орлого</w:t>
            </w:r>
          </w:p>
        </w:tc>
        <w:tc>
          <w:tcPr>
            <w:tcW w:w="1701" w:type="dxa"/>
          </w:tcPr>
          <w:p w:rsidR="00CE30C3" w:rsidRPr="001772A3" w:rsidRDefault="00CE30C3" w:rsidP="00EB4636">
            <w:pPr>
              <w:spacing w:line="276" w:lineRule="auto"/>
              <w:rPr>
                <w:lang w:val="mn-MN"/>
              </w:rPr>
            </w:pPr>
            <w:r w:rsidRPr="001772A3">
              <w:rPr>
                <w:lang w:val="mn-MN"/>
              </w:rPr>
              <w:t>мян.төг</w:t>
            </w:r>
          </w:p>
        </w:tc>
        <w:tc>
          <w:tcPr>
            <w:tcW w:w="1933" w:type="dxa"/>
          </w:tcPr>
          <w:p w:rsidR="00CE30C3" w:rsidRPr="001772A3" w:rsidRDefault="00CE30C3" w:rsidP="00EB4636">
            <w:pPr>
              <w:spacing w:line="276" w:lineRule="auto"/>
              <w:rPr>
                <w:bCs/>
                <w:lang w:val="mn-MN"/>
              </w:rPr>
            </w:pPr>
            <w:r w:rsidRPr="001772A3">
              <w:rPr>
                <w:bCs/>
                <w:lang w:val="mn-MN"/>
              </w:rPr>
              <w:t>143,000.0</w:t>
            </w:r>
          </w:p>
        </w:tc>
        <w:tc>
          <w:tcPr>
            <w:tcW w:w="1814" w:type="dxa"/>
            <w:vAlign w:val="center"/>
          </w:tcPr>
          <w:p w:rsidR="00CE30C3" w:rsidRPr="001772A3" w:rsidRDefault="00CE30C3" w:rsidP="00EB4636">
            <w:pPr>
              <w:spacing w:line="276" w:lineRule="auto"/>
              <w:rPr>
                <w:bCs/>
                <w:lang w:val="mn-MN"/>
              </w:rPr>
            </w:pPr>
            <w:r w:rsidRPr="001772A3">
              <w:rPr>
                <w:bCs/>
                <w:lang w:val="mn-MN"/>
              </w:rPr>
              <w:t>71,387.0</w:t>
            </w:r>
          </w:p>
        </w:tc>
      </w:tr>
      <w:tr w:rsidR="00CE30C3" w:rsidRPr="001772A3" w:rsidTr="00EB4636">
        <w:trPr>
          <w:jc w:val="center"/>
        </w:trPr>
        <w:tc>
          <w:tcPr>
            <w:tcW w:w="458" w:type="dxa"/>
          </w:tcPr>
          <w:p w:rsidR="00CE30C3" w:rsidRPr="001772A3" w:rsidRDefault="00CE30C3" w:rsidP="00EB4636">
            <w:pPr>
              <w:spacing w:line="276" w:lineRule="auto"/>
              <w:jc w:val="both"/>
              <w:rPr>
                <w:lang w:val="mn-MN"/>
              </w:rPr>
            </w:pPr>
            <w:r w:rsidRPr="001772A3">
              <w:rPr>
                <w:lang w:val="mn-MN"/>
              </w:rPr>
              <w:t>5</w:t>
            </w:r>
          </w:p>
        </w:tc>
        <w:tc>
          <w:tcPr>
            <w:tcW w:w="3254" w:type="dxa"/>
            <w:vAlign w:val="center"/>
          </w:tcPr>
          <w:p w:rsidR="00CE30C3" w:rsidRPr="001772A3" w:rsidRDefault="00CE30C3" w:rsidP="00EB4636">
            <w:pPr>
              <w:spacing w:line="276" w:lineRule="auto"/>
              <w:rPr>
                <w:bCs/>
                <w:lang w:val="mn-MN"/>
              </w:rPr>
            </w:pPr>
            <w:r w:rsidRPr="001772A3">
              <w:rPr>
                <w:bCs/>
                <w:lang w:val="mn-MN"/>
              </w:rPr>
              <w:t>Үйл ажиллагааны бус зардал</w:t>
            </w:r>
          </w:p>
        </w:tc>
        <w:tc>
          <w:tcPr>
            <w:tcW w:w="1701" w:type="dxa"/>
          </w:tcPr>
          <w:p w:rsidR="00CE30C3" w:rsidRPr="001772A3" w:rsidRDefault="00CE30C3" w:rsidP="00EB4636">
            <w:pPr>
              <w:spacing w:line="276" w:lineRule="auto"/>
              <w:rPr>
                <w:lang w:val="mn-MN"/>
              </w:rPr>
            </w:pPr>
            <w:r w:rsidRPr="001772A3">
              <w:rPr>
                <w:lang w:val="mn-MN"/>
              </w:rPr>
              <w:t>мян.төг</w:t>
            </w:r>
          </w:p>
        </w:tc>
        <w:tc>
          <w:tcPr>
            <w:tcW w:w="1933" w:type="dxa"/>
          </w:tcPr>
          <w:p w:rsidR="00CE30C3" w:rsidRPr="001772A3" w:rsidRDefault="00CE30C3" w:rsidP="00EB4636">
            <w:pPr>
              <w:spacing w:line="276" w:lineRule="auto"/>
              <w:rPr>
                <w:bCs/>
                <w:lang w:val="mn-MN"/>
              </w:rPr>
            </w:pPr>
            <w:r w:rsidRPr="001772A3">
              <w:rPr>
                <w:bCs/>
                <w:lang w:val="mn-MN"/>
              </w:rPr>
              <w:t>1,070,066.7</w:t>
            </w:r>
          </w:p>
        </w:tc>
        <w:tc>
          <w:tcPr>
            <w:tcW w:w="1814" w:type="dxa"/>
            <w:vAlign w:val="center"/>
          </w:tcPr>
          <w:p w:rsidR="00CE30C3" w:rsidRPr="001772A3" w:rsidRDefault="00CE30C3" w:rsidP="00EB4636">
            <w:pPr>
              <w:spacing w:line="276" w:lineRule="auto"/>
              <w:rPr>
                <w:bCs/>
                <w:lang w:val="mn-MN"/>
              </w:rPr>
            </w:pPr>
            <w:r w:rsidRPr="001772A3">
              <w:rPr>
                <w:bCs/>
                <w:lang w:val="mn-MN"/>
              </w:rPr>
              <w:t>1,666,432.9</w:t>
            </w:r>
          </w:p>
        </w:tc>
      </w:tr>
      <w:tr w:rsidR="00CE30C3" w:rsidRPr="001772A3" w:rsidTr="00EB4636">
        <w:trPr>
          <w:jc w:val="center"/>
        </w:trPr>
        <w:tc>
          <w:tcPr>
            <w:tcW w:w="458" w:type="dxa"/>
          </w:tcPr>
          <w:p w:rsidR="00CE30C3" w:rsidRPr="001772A3" w:rsidRDefault="00CE30C3" w:rsidP="00EB4636">
            <w:pPr>
              <w:spacing w:line="276" w:lineRule="auto"/>
              <w:jc w:val="both"/>
              <w:rPr>
                <w:lang w:val="mn-MN"/>
              </w:rPr>
            </w:pPr>
            <w:r w:rsidRPr="001772A3">
              <w:rPr>
                <w:lang w:val="mn-MN"/>
              </w:rPr>
              <w:lastRenderedPageBreak/>
              <w:t>6</w:t>
            </w:r>
          </w:p>
        </w:tc>
        <w:tc>
          <w:tcPr>
            <w:tcW w:w="3254" w:type="dxa"/>
            <w:vAlign w:val="center"/>
          </w:tcPr>
          <w:p w:rsidR="00CE30C3" w:rsidRPr="001772A3" w:rsidRDefault="00CE30C3" w:rsidP="00EB4636">
            <w:pPr>
              <w:spacing w:line="276" w:lineRule="auto"/>
              <w:rPr>
                <w:bCs/>
                <w:lang w:val="mn-MN"/>
              </w:rPr>
            </w:pPr>
            <w:r w:rsidRPr="001772A3">
              <w:rPr>
                <w:bCs/>
                <w:lang w:val="mn-MN"/>
              </w:rPr>
              <w:t>Үйл ажиллагааны бус ашиг</w:t>
            </w:r>
          </w:p>
        </w:tc>
        <w:tc>
          <w:tcPr>
            <w:tcW w:w="1701" w:type="dxa"/>
          </w:tcPr>
          <w:p w:rsidR="00CE30C3" w:rsidRPr="001772A3" w:rsidRDefault="00CE30C3" w:rsidP="00EB4636">
            <w:pPr>
              <w:spacing w:line="276" w:lineRule="auto"/>
              <w:rPr>
                <w:lang w:val="mn-MN"/>
              </w:rPr>
            </w:pPr>
            <w:r w:rsidRPr="001772A3">
              <w:rPr>
                <w:lang w:val="mn-MN"/>
              </w:rPr>
              <w:t>мян.төг</w:t>
            </w:r>
          </w:p>
        </w:tc>
        <w:tc>
          <w:tcPr>
            <w:tcW w:w="1933" w:type="dxa"/>
          </w:tcPr>
          <w:p w:rsidR="00CE30C3" w:rsidRPr="001772A3" w:rsidRDefault="00CE30C3" w:rsidP="00EB4636">
            <w:pPr>
              <w:spacing w:line="276" w:lineRule="auto"/>
              <w:rPr>
                <w:bCs/>
              </w:rPr>
            </w:pPr>
            <w:r w:rsidRPr="001772A3">
              <w:rPr>
                <w:bCs/>
              </w:rPr>
              <w:t>(</w:t>
            </w:r>
            <w:r w:rsidRPr="001772A3">
              <w:rPr>
                <w:bCs/>
                <w:lang w:val="mn-MN"/>
              </w:rPr>
              <w:t>927,066.7</w:t>
            </w:r>
            <w:r w:rsidRPr="001772A3">
              <w:rPr>
                <w:bCs/>
              </w:rPr>
              <w:t>)</w:t>
            </w:r>
          </w:p>
        </w:tc>
        <w:tc>
          <w:tcPr>
            <w:tcW w:w="1814" w:type="dxa"/>
            <w:vAlign w:val="center"/>
          </w:tcPr>
          <w:p w:rsidR="00CE30C3" w:rsidRPr="001772A3" w:rsidRDefault="00CE30C3" w:rsidP="00EB4636">
            <w:pPr>
              <w:spacing w:line="276" w:lineRule="auto"/>
              <w:rPr>
                <w:bCs/>
              </w:rPr>
            </w:pPr>
            <w:r w:rsidRPr="001772A3">
              <w:rPr>
                <w:bCs/>
              </w:rPr>
              <w:t>(1</w:t>
            </w:r>
            <w:r w:rsidRPr="001772A3">
              <w:rPr>
                <w:bCs/>
                <w:lang w:val="mn-MN"/>
              </w:rPr>
              <w:t>,595,045.8</w:t>
            </w:r>
            <w:r w:rsidRPr="001772A3">
              <w:rPr>
                <w:bCs/>
              </w:rPr>
              <w:t>)</w:t>
            </w:r>
          </w:p>
        </w:tc>
      </w:tr>
      <w:tr w:rsidR="00CE30C3" w:rsidRPr="001772A3" w:rsidTr="00EB4636">
        <w:trPr>
          <w:jc w:val="center"/>
        </w:trPr>
        <w:tc>
          <w:tcPr>
            <w:tcW w:w="458" w:type="dxa"/>
          </w:tcPr>
          <w:p w:rsidR="00CE30C3" w:rsidRPr="001772A3" w:rsidRDefault="00CE30C3" w:rsidP="00EB4636">
            <w:pPr>
              <w:spacing w:line="276" w:lineRule="auto"/>
              <w:jc w:val="both"/>
              <w:rPr>
                <w:b/>
                <w:lang w:val="mn-MN"/>
              </w:rPr>
            </w:pPr>
            <w:r w:rsidRPr="001772A3">
              <w:rPr>
                <w:b/>
                <w:lang w:val="mn-MN"/>
              </w:rPr>
              <w:t>7</w:t>
            </w:r>
          </w:p>
        </w:tc>
        <w:tc>
          <w:tcPr>
            <w:tcW w:w="3254" w:type="dxa"/>
          </w:tcPr>
          <w:p w:rsidR="00CE30C3" w:rsidRPr="001772A3" w:rsidRDefault="00CE30C3" w:rsidP="00EB4636">
            <w:pPr>
              <w:spacing w:line="276" w:lineRule="auto"/>
              <w:jc w:val="both"/>
              <w:rPr>
                <w:b/>
                <w:lang w:val="mn-MN"/>
              </w:rPr>
            </w:pPr>
            <w:r w:rsidRPr="001772A3">
              <w:rPr>
                <w:b/>
                <w:lang w:val="mn-MN"/>
              </w:rPr>
              <w:t>Татварын өмнөх ашиг</w:t>
            </w:r>
          </w:p>
        </w:tc>
        <w:tc>
          <w:tcPr>
            <w:tcW w:w="1701" w:type="dxa"/>
          </w:tcPr>
          <w:p w:rsidR="00CE30C3" w:rsidRPr="001772A3" w:rsidRDefault="00CE30C3" w:rsidP="00EB4636">
            <w:pPr>
              <w:spacing w:line="276" w:lineRule="auto"/>
              <w:jc w:val="both"/>
              <w:rPr>
                <w:b/>
                <w:lang w:val="mn-MN"/>
              </w:rPr>
            </w:pPr>
            <w:r w:rsidRPr="001772A3">
              <w:rPr>
                <w:b/>
                <w:lang w:val="mn-MN"/>
              </w:rPr>
              <w:t>мян.төг</w:t>
            </w:r>
          </w:p>
        </w:tc>
        <w:tc>
          <w:tcPr>
            <w:tcW w:w="1933" w:type="dxa"/>
          </w:tcPr>
          <w:p w:rsidR="00CE30C3" w:rsidRPr="001772A3" w:rsidRDefault="00CE30C3" w:rsidP="00EB4636">
            <w:pPr>
              <w:spacing w:line="276" w:lineRule="auto"/>
              <w:rPr>
                <w:b/>
                <w:lang w:val="mn-MN"/>
              </w:rPr>
            </w:pPr>
            <w:r w:rsidRPr="001772A3">
              <w:rPr>
                <w:b/>
                <w:lang w:val="mn-MN"/>
              </w:rPr>
              <w:t>3,455.5</w:t>
            </w:r>
          </w:p>
        </w:tc>
        <w:tc>
          <w:tcPr>
            <w:tcW w:w="1814" w:type="dxa"/>
          </w:tcPr>
          <w:p w:rsidR="00CE30C3" w:rsidRPr="001772A3" w:rsidRDefault="00CE30C3" w:rsidP="00EB4636">
            <w:pPr>
              <w:spacing w:line="276" w:lineRule="auto"/>
              <w:rPr>
                <w:b/>
                <w:lang w:val="mn-MN"/>
              </w:rPr>
            </w:pPr>
            <w:r w:rsidRPr="001772A3">
              <w:rPr>
                <w:b/>
                <w:lang w:val="mn-MN"/>
              </w:rPr>
              <w:t>273,270.5</w:t>
            </w:r>
          </w:p>
        </w:tc>
      </w:tr>
    </w:tbl>
    <w:p w:rsidR="00CE30C3" w:rsidRPr="001772A3" w:rsidRDefault="00CE30C3" w:rsidP="00CE30C3">
      <w:pPr>
        <w:spacing w:line="276" w:lineRule="auto"/>
        <w:ind w:firstLine="720"/>
        <w:jc w:val="both"/>
        <w:rPr>
          <w:rFonts w:eastAsia="Times New Roman"/>
          <w:lang w:val="mn-MN"/>
        </w:rPr>
      </w:pPr>
      <w:r w:rsidRPr="001772A3">
        <w:rPr>
          <w:rFonts w:eastAsia="Times New Roman"/>
          <w:lang w:val="mn-MN"/>
        </w:rPr>
        <w:t>Төлөвлөгөөт ашгийг 269.8 сая төгрөгөөр нэмэгдүүлсэн нь борлуулсан нүүрсний биет хэмжээ 103.6 хувь буюу 2,020.3 мян.тн-д хүрснээр борлуулалтын орлогын дүн 1.2 тэрбум төгрөгөөр нэмэгдэж, хөрс хуулалтын хойшлогдох зардал 6.4 тэрбум төгрөгийг хөрөнгөнд бүртгэж, үйлдвэрлэлийн зардал үнийн хэмнэлтээр 1.5 тэрбум төгрөг, биет хэмнэлтээр 1.6 тэрбум төгрөг, биет хэтрэлтээр 98 сая төгрөг, үйлдвэрлэлийн бус алдагдал 596.4 сая төгрөгөөр хэтэрсэнтэй холбоотой. Товчхондоо төлөвлөгөөт ашиг өссөн шалтгаан нь борлуулалтын орлого нэмэгдсэнтэй холбоотой.</w:t>
      </w:r>
    </w:p>
    <w:p w:rsidR="00CE30C3" w:rsidRPr="001772A3" w:rsidRDefault="00CE30C3" w:rsidP="00CE30C3">
      <w:pPr>
        <w:spacing w:line="276" w:lineRule="auto"/>
        <w:ind w:firstLine="567"/>
        <w:jc w:val="center"/>
        <w:rPr>
          <w:rFonts w:eastAsiaTheme="minorHAnsi"/>
          <w:b/>
          <w:i/>
          <w:lang w:val="mn-MN"/>
        </w:rPr>
      </w:pPr>
    </w:p>
    <w:p w:rsidR="00CE30C3" w:rsidRPr="001772A3" w:rsidRDefault="00CE30C3" w:rsidP="00CE30C3">
      <w:pPr>
        <w:spacing w:line="276" w:lineRule="auto"/>
        <w:ind w:firstLine="567"/>
        <w:jc w:val="center"/>
        <w:rPr>
          <w:rFonts w:eastAsiaTheme="minorHAnsi"/>
          <w:b/>
          <w:i/>
          <w:highlight w:val="yellow"/>
          <w:lang w:val="mn-MN"/>
        </w:rPr>
      </w:pPr>
      <w:r w:rsidRPr="001772A3">
        <w:rPr>
          <w:rFonts w:eastAsiaTheme="minorHAnsi"/>
          <w:b/>
          <w:i/>
          <w:lang w:val="mn-MN"/>
        </w:rPr>
        <w:t>ГУРАВ. КОМПАНИЙН УДИРДЛАГА ЗОХИОН БАЙГУУЛАЛТ, ХҮНИЙ НӨӨЦИЙН ТАЛААР</w:t>
      </w:r>
    </w:p>
    <w:p w:rsidR="00CE30C3" w:rsidRPr="001772A3" w:rsidRDefault="00CE30C3" w:rsidP="00CE30C3">
      <w:pPr>
        <w:spacing w:before="120" w:after="120" w:line="276" w:lineRule="auto"/>
        <w:ind w:firstLine="567"/>
        <w:jc w:val="both"/>
        <w:rPr>
          <w:rFonts w:eastAsiaTheme="minorHAnsi"/>
          <w:lang w:val="mn-MN"/>
        </w:rPr>
      </w:pPr>
      <w:r w:rsidRPr="001772A3">
        <w:rPr>
          <w:rFonts w:eastAsiaTheme="minorHAnsi"/>
          <w:lang w:val="mn-MN"/>
        </w:rPr>
        <w:t xml:space="preserve"> Төлөөлөн Удирдах Зөвлөлийн 2017 оны 5 дугаар сарын 16-ны өдрийн 11 дүгээр тогтоол, Гүйцэтгэх захирлын 2017 оны 7 дугаар сарын 24-ний өдрийн А/53 дугаар тушаалаар “Компанийн бүтэц, орон тоо”-нд өөрчлөлт оруулж, компанийн удирдлага зохион байгуулалтын бүтцийг 5 хэлтэс, 5 алба, 7 хэсэг, 2 нэгж, 1 охин компани, ажиллах хүчний орон тоо 582 ажилтантайгаар үйл ажиллагаагаа явуулахаар шинэчлэн баталсан.</w:t>
      </w:r>
    </w:p>
    <w:p w:rsidR="00CE30C3" w:rsidRPr="001772A3" w:rsidRDefault="00CE30C3" w:rsidP="00CE30C3">
      <w:pPr>
        <w:spacing w:before="120" w:after="120" w:line="276" w:lineRule="auto"/>
        <w:ind w:firstLine="720"/>
        <w:contextualSpacing/>
        <w:jc w:val="both"/>
        <w:rPr>
          <w:rFonts w:eastAsiaTheme="minorHAnsi"/>
          <w:lang w:val="mn-MN"/>
        </w:rPr>
      </w:pPr>
      <w:r w:rsidRPr="001772A3">
        <w:rPr>
          <w:rFonts w:eastAsiaTheme="minorHAnsi"/>
          <w:lang w:val="mn-MN"/>
        </w:rPr>
        <w:t xml:space="preserve">Компанийн удирдлагын үйл ажиллагааны хүрээнд 7 хоног бүрийн 1 дэх өдөр Гүйцэтгэх захирлын нэгдсэн наряд, 5 дахь өдөр Захирлын зөвлөлийн хурлыг зохион байгуулж, сар, 7 хоногийн хугацаанд хийж хэрэгжүүлсэн ажил, өгсөн үүрэг даалгаврын биелэлтийг хэлэлцэж, ажлын тодорхой чиглэл, үүрэг даалгаврыг өгч ирсэн. </w:t>
      </w:r>
    </w:p>
    <w:p w:rsidR="00CE30C3" w:rsidRPr="001772A3" w:rsidRDefault="00CE30C3" w:rsidP="00CE30C3">
      <w:pPr>
        <w:spacing w:before="120" w:after="120" w:line="276" w:lineRule="auto"/>
        <w:ind w:firstLine="720"/>
        <w:contextualSpacing/>
        <w:jc w:val="both"/>
        <w:rPr>
          <w:rFonts w:eastAsiaTheme="minorHAnsi"/>
          <w:lang w:val="mn-MN"/>
        </w:rPr>
      </w:pPr>
      <w:r w:rsidRPr="001772A3">
        <w:rPr>
          <w:rFonts w:eastAsiaTheme="minorHAnsi"/>
          <w:lang w:val="mn-MN"/>
        </w:rPr>
        <w:t xml:space="preserve">Өнгөрсөн онд Захирлын зөвлөлийн гишүүд, ерөнхий мэргэжилтнүүд, алба, хэсгийн дарга нарт нийт 2,552 наряд, үүрэг даалгавар өгсөнөөс 2,296 буюу 90 хувийн биелэлттэй гүйцэтгэсэн байна. </w:t>
      </w:r>
    </w:p>
    <w:p w:rsidR="00CE30C3" w:rsidRPr="001772A3" w:rsidRDefault="00CE30C3" w:rsidP="00CE30C3">
      <w:pPr>
        <w:spacing w:before="120" w:after="120" w:line="276" w:lineRule="auto"/>
        <w:ind w:firstLine="720"/>
        <w:contextualSpacing/>
        <w:jc w:val="both"/>
        <w:rPr>
          <w:rFonts w:eastAsiaTheme="minorHAnsi"/>
          <w:lang w:val="mn-MN"/>
        </w:rPr>
      </w:pPr>
      <w:r w:rsidRPr="001772A3">
        <w:rPr>
          <w:rFonts w:eastAsiaTheme="minorHAnsi"/>
          <w:lang w:val="mn-MN"/>
        </w:rPr>
        <w:t>Компанийн Захирлын зөвлөлийн хурлыг 26 удаа зохион байгуулж, 300 асуудлыг хэлэлцэн шийдвэрлэсэн байна.</w:t>
      </w:r>
    </w:p>
    <w:p w:rsidR="00CE30C3" w:rsidRPr="001772A3" w:rsidRDefault="00CE30C3" w:rsidP="00CE30C3">
      <w:pPr>
        <w:shd w:val="clear" w:color="auto" w:fill="FFFFFF" w:themeFill="background1"/>
        <w:spacing w:after="120" w:line="276" w:lineRule="auto"/>
        <w:ind w:firstLine="720"/>
        <w:jc w:val="both"/>
        <w:rPr>
          <w:rFonts w:eastAsiaTheme="minorHAnsi"/>
          <w:lang w:val="mn-MN"/>
        </w:rPr>
      </w:pPr>
      <w:r w:rsidRPr="001772A3">
        <w:rPr>
          <w:rFonts w:eastAsiaTheme="minorHAnsi"/>
          <w:lang w:val="mn-MN"/>
        </w:rPr>
        <w:t xml:space="preserve">2017 онд байнгын ажлын байранд 59 иргэн, түр ажлын байранд 14 иргэн, хөлсөөр ажиллах гэрээгээр 1 ажилтан нийт 74 иргэнтэй хөдөлмөрийн гэрээ шинээр байгуулсан нь өнгөрсөн оныхоос 9 хүнээр буюу 12%-иар өссөн, мөн онд 75 ажилтантай хөдөлмөрийн гэрээ цуцалсан байна. </w:t>
      </w:r>
    </w:p>
    <w:p w:rsidR="00CE30C3" w:rsidRPr="001772A3" w:rsidRDefault="00CE30C3" w:rsidP="00CE30C3">
      <w:pPr>
        <w:shd w:val="clear" w:color="auto" w:fill="FFFFFF" w:themeFill="background1"/>
        <w:spacing w:after="120" w:line="276" w:lineRule="auto"/>
        <w:ind w:firstLine="720"/>
        <w:jc w:val="both"/>
        <w:rPr>
          <w:rFonts w:eastAsiaTheme="minorHAnsi"/>
          <w:lang w:val="mn-MN"/>
        </w:rPr>
      </w:pPr>
      <w:r w:rsidRPr="001772A3">
        <w:rPr>
          <w:rFonts w:eastAsiaTheme="minorHAnsi"/>
          <w:lang w:val="mn-MN"/>
        </w:rPr>
        <w:t>Түүнчлэн 2017 онд 97 ажилтан сахилга хариуцлагын зөрчил гарсан нь өнгөрсөн оныхоос 55 ажилтан буюу 43%-иар өссөн үзүүлэлттэй байна. Өссөн тоон үзүүлэлтээс ажил таслалт, ХАБЭА-н зөрчил 59 буюу 30%-иар өссөн үзүүлэлттэй харагдаж байна. Энэ үзүүлэлт нь ажлын хариуцлага, ажлын гүйцэтгэл сайжирч, нэмэгдэж байна гэж үзэж байна.</w:t>
      </w:r>
    </w:p>
    <w:p w:rsidR="00CE30C3" w:rsidRPr="001772A3" w:rsidRDefault="00CE30C3" w:rsidP="00CE30C3">
      <w:pPr>
        <w:shd w:val="clear" w:color="auto" w:fill="FFFFFF" w:themeFill="background1"/>
        <w:spacing w:after="120" w:line="276" w:lineRule="auto"/>
        <w:ind w:firstLine="720"/>
        <w:jc w:val="both"/>
        <w:rPr>
          <w:rFonts w:eastAsiaTheme="minorHAnsi"/>
          <w:bCs/>
          <w:iCs/>
          <w:lang w:val="mn-MN"/>
        </w:rPr>
      </w:pPr>
      <w:r w:rsidRPr="001772A3">
        <w:rPr>
          <w:rFonts w:eastAsiaTheme="minorHAnsi"/>
          <w:bCs/>
          <w:iCs/>
          <w:lang w:val="mn-MN"/>
        </w:rPr>
        <w:t xml:space="preserve">Компанийн хүний нөөцийн ажиллах хүчний шинжилгээг гаргахад хүний нөөцийн оролт 10%, хүний нөөцийн гаралт 10%, хүний нөөцийн тогтворгүй байдал 7%, хүний нөөцийн тогтворжилт 90%-тай байна. </w:t>
      </w:r>
    </w:p>
    <w:p w:rsidR="00CE30C3" w:rsidRPr="001772A3" w:rsidRDefault="00CE30C3" w:rsidP="00CE30C3">
      <w:pPr>
        <w:shd w:val="clear" w:color="auto" w:fill="FFFFFF" w:themeFill="background1"/>
        <w:spacing w:after="120" w:line="276" w:lineRule="auto"/>
        <w:ind w:firstLine="720"/>
        <w:jc w:val="both"/>
        <w:rPr>
          <w:rFonts w:eastAsiaTheme="minorHAnsi"/>
          <w:bCs/>
          <w:iCs/>
          <w:lang w:val="mn-MN"/>
        </w:rPr>
      </w:pPr>
      <w:r w:rsidRPr="001772A3">
        <w:rPr>
          <w:rFonts w:eastAsiaTheme="minorHAnsi"/>
          <w:bCs/>
          <w:iCs/>
          <w:lang w:val="mn-MN"/>
        </w:rPr>
        <w:t>2017 оны хувьд хүний нөөцийн үзүүлэлт компанийн хэмжээнд буурах хандлагатай байна.</w:t>
      </w:r>
    </w:p>
    <w:p w:rsidR="00CE30C3" w:rsidRPr="001772A3" w:rsidRDefault="00CE30C3" w:rsidP="00CE30C3">
      <w:pPr>
        <w:spacing w:after="120" w:line="276" w:lineRule="auto"/>
        <w:ind w:firstLine="720"/>
        <w:jc w:val="both"/>
        <w:rPr>
          <w:rFonts w:eastAsiaTheme="minorHAnsi"/>
          <w:lang w:val="mn-MN"/>
        </w:rPr>
      </w:pPr>
      <w:r w:rsidRPr="001772A3">
        <w:rPr>
          <w:rFonts w:eastAsiaTheme="minorHAnsi"/>
          <w:lang w:val="mn-MN"/>
        </w:rPr>
        <w:t xml:space="preserve">Гэмт хэргээс урьдчилан сэргийлэх төлөвлөгөөт ажлын хүрээнд сар бүрийн 08, 20-ны өдрүүдэд 7 хэсгээс нийт 5 хүний бүрэлдэхүүнтэй эргүүл хэв журмын зөрчлөөс урьдчилан </w:t>
      </w:r>
      <w:r w:rsidRPr="001772A3">
        <w:rPr>
          <w:rFonts w:eastAsiaTheme="minorHAnsi"/>
          <w:lang w:val="mn-MN"/>
        </w:rPr>
        <w:lastRenderedPageBreak/>
        <w:t xml:space="preserve">сэргийлэх зорилгоор сумын цагдаагийн тасагтай хамтарч нийтийн эргүүлийг нийт 24 удаа зохион байгуулсан байна. </w:t>
      </w:r>
    </w:p>
    <w:p w:rsidR="00CE30C3" w:rsidRPr="001772A3" w:rsidRDefault="00CE30C3" w:rsidP="00CE30C3">
      <w:pPr>
        <w:spacing w:after="120" w:line="276" w:lineRule="auto"/>
        <w:ind w:firstLine="720"/>
        <w:jc w:val="both"/>
        <w:rPr>
          <w:rFonts w:eastAsiaTheme="minorHAnsi"/>
          <w:lang w:val="mn-MN"/>
        </w:rPr>
      </w:pPr>
      <w:r w:rsidRPr="001772A3">
        <w:rPr>
          <w:rFonts w:eastAsiaTheme="minorHAnsi"/>
          <w:lang w:val="mn-MN"/>
        </w:rPr>
        <w:t xml:space="preserve">Мөн архидан согтуурах, гэмт хэрэг, зөрчлөөс урьдчилан сэргийлэх анхан шатны зааварчилгаа боловсруулж батлуулаад мөрдөн ажиллаж байна. </w:t>
      </w:r>
    </w:p>
    <w:p w:rsidR="00CE30C3" w:rsidRPr="001772A3" w:rsidRDefault="00CE30C3" w:rsidP="00CE30C3">
      <w:pPr>
        <w:spacing w:after="120" w:line="276" w:lineRule="auto"/>
        <w:ind w:firstLine="720"/>
        <w:jc w:val="both"/>
        <w:rPr>
          <w:rFonts w:eastAsiaTheme="minorHAnsi"/>
          <w:lang w:val="mn-MN"/>
        </w:rPr>
      </w:pPr>
      <w:r w:rsidRPr="001772A3">
        <w:rPr>
          <w:rFonts w:eastAsiaTheme="minorHAnsi"/>
          <w:lang w:val="mn-MN"/>
        </w:rPr>
        <w:t xml:space="preserve">Гэмт хэргээс урьдчилан сэргийлэх тухай хуулийн 9 дүгээр зүйлийн 9.1.2-д заасны дагуу “Ажилтнууддаа гэмт хэргээс урьдчилан сэргийлэх зорилго”-оор холбогдох хууль тогтоомжийг мэдээлэх, сурталчлах ажлыг Говьсүмбэр аймгийн ”Прокурорын газар”, Засаг даргын Тамгын газрын Хууль зүйн хэлтэс, Цагдаагийн хэлтэс, Гэр бүл, хүүхэд залуучуудын хөгжлийн газар зэрэг байгууллагуудтай  хамтран зохион байгуулсан. </w:t>
      </w:r>
    </w:p>
    <w:p w:rsidR="00CE30C3" w:rsidRPr="001772A3" w:rsidRDefault="00CE30C3" w:rsidP="00CE30C3">
      <w:pPr>
        <w:spacing w:after="120" w:line="276" w:lineRule="auto"/>
        <w:ind w:firstLine="720"/>
        <w:jc w:val="both"/>
        <w:rPr>
          <w:rFonts w:eastAsiaTheme="minorHAnsi"/>
          <w:color w:val="FF0000"/>
          <w:lang w:val="mn-MN"/>
        </w:rPr>
      </w:pPr>
      <w:r w:rsidRPr="001772A3">
        <w:rPr>
          <w:rFonts w:eastAsiaTheme="minorHAnsi"/>
          <w:lang w:val="mn-MN"/>
        </w:rPr>
        <w:t xml:space="preserve">Мөн Хүүхэд хамгааллын тухай хууль, Гэр бүлийн хүчирхийлэлтэй тэмцэх тухай хууль, Зөрчлийн тухай хуулийн талаарх сургалтыг зохион байгуулж нийт ажилтан, ажилтнуудын ар гэрийн хүмүүсийг оролцуулж зохион байгуулан, гэр бүлийн хүчирхийлэл, хүүхэд хамгааллын талаарх хууль, эрх зүйн суурь ойлголтыг олгосон болно. </w:t>
      </w:r>
    </w:p>
    <w:p w:rsidR="00CE30C3" w:rsidRPr="001772A3" w:rsidRDefault="00CE30C3" w:rsidP="00CE30C3">
      <w:pPr>
        <w:spacing w:after="120" w:line="276" w:lineRule="auto"/>
        <w:ind w:firstLine="720"/>
        <w:jc w:val="both"/>
        <w:rPr>
          <w:rFonts w:eastAsiaTheme="minorHAnsi"/>
          <w:lang w:val="mn-MN"/>
        </w:rPr>
      </w:pPr>
      <w:r w:rsidRPr="001772A3">
        <w:rPr>
          <w:rFonts w:eastAsiaTheme="minorHAnsi"/>
          <w:lang w:val="mn-MN"/>
        </w:rPr>
        <w:t>Хэлтэс, хэсэг, нэгжүүдийн ажлын нарядын өрөөнд “Хууль эрх зүйн мэдээллийн самбар” тогтмол ажиллуулж, ажилтнуудад хуулийн мэдлэг, мэдээллийг олгож байна.</w:t>
      </w:r>
    </w:p>
    <w:p w:rsidR="00CE30C3" w:rsidRPr="001772A3" w:rsidRDefault="00CE30C3" w:rsidP="00CE30C3">
      <w:pPr>
        <w:spacing w:after="120" w:line="276" w:lineRule="auto"/>
        <w:ind w:firstLine="720"/>
        <w:jc w:val="both"/>
        <w:rPr>
          <w:rFonts w:eastAsiaTheme="minorHAnsi"/>
          <w:lang w:val="mn-MN"/>
        </w:rPr>
      </w:pPr>
      <w:r w:rsidRPr="001772A3">
        <w:rPr>
          <w:rFonts w:eastAsiaTheme="minorHAnsi"/>
          <w:lang w:val="mn-MN"/>
        </w:rPr>
        <w:t>“Хүний хөгжлийг дэмжих ажлын төлөвлөгөө”-г хэрэгжүүлэн ажиллаж байна. Уг төлөвлөгөөг 6 чиглэлээр 49 арга хэмжээ төлөвлөн хэрэгжүүлсэн. Төлөвлөгөөний төсвийг 758.7 сая төгрөгөөр баталсанаас гүйцэтгэлээр 723.8 сая төгрөг болсон. Компанийн нийгмийн хариуцлагын хүрээнд хүүхдийн тоглоомын талбай, “Дэвжээ” тэмцээн, сумын ЭМТ-ийн хүүхдийн тасгийн тохижилт, гар урлалын сургалт зэрэг ажлыг зохион байгуулсан.</w:t>
      </w:r>
    </w:p>
    <w:p w:rsidR="00CE30C3" w:rsidRPr="001772A3" w:rsidRDefault="00CE30C3" w:rsidP="00CE30C3">
      <w:pPr>
        <w:spacing w:after="120" w:line="276" w:lineRule="auto"/>
        <w:ind w:firstLine="720"/>
        <w:jc w:val="both"/>
        <w:rPr>
          <w:rFonts w:eastAsiaTheme="minorHAnsi"/>
          <w:lang w:val="mn-MN"/>
        </w:rPr>
      </w:pPr>
      <w:r w:rsidRPr="001772A3">
        <w:rPr>
          <w:rFonts w:eastAsiaTheme="minorHAnsi"/>
          <w:lang w:val="mn-MN"/>
        </w:rPr>
        <w:t>Ахмад настны нийгмийн хамгаалалд ахмадын болон сар шинийн баяраар хүндэтгэл үзүүлэн, 50 гаруй ахмадыг “Халзан Уул” рашаан сувилалын газарт 5 хоног сувилуулж, нүүрсний үнийн хөнгөлөлт зэргийг олгосон.</w:t>
      </w:r>
    </w:p>
    <w:p w:rsidR="00CE30C3" w:rsidRPr="001772A3" w:rsidRDefault="00CE30C3" w:rsidP="00CE30C3">
      <w:pPr>
        <w:spacing w:after="120" w:line="276" w:lineRule="auto"/>
        <w:ind w:firstLine="720"/>
        <w:jc w:val="both"/>
        <w:rPr>
          <w:rFonts w:eastAsiaTheme="minorHAnsi"/>
          <w:lang w:val="mn-MN"/>
        </w:rPr>
      </w:pPr>
      <w:r w:rsidRPr="001772A3">
        <w:rPr>
          <w:rFonts w:eastAsiaTheme="minorHAnsi"/>
          <w:lang w:val="mn-MN"/>
        </w:rPr>
        <w:t>Уул уурхайн салбар үүсч хөгжсөний 95 жилийн ойг тохиолдуулан “Шивээ-Овоо” хувьцаат компанийн нийт ажилтнуудын дунд Спортын XVI их наадмыг зохион байгууллаа. Уурхайчид спортын 11 төрлөөр  амжилттай өрсөлдлөө.</w:t>
      </w:r>
    </w:p>
    <w:p w:rsidR="00CE30C3" w:rsidRPr="001772A3" w:rsidRDefault="00CE30C3" w:rsidP="00CE30C3">
      <w:pPr>
        <w:spacing w:after="120" w:line="276" w:lineRule="auto"/>
        <w:ind w:firstLine="720"/>
        <w:jc w:val="both"/>
        <w:rPr>
          <w:rFonts w:eastAsiaTheme="minorHAnsi"/>
          <w:lang w:val="mn-MN"/>
        </w:rPr>
      </w:pPr>
      <w:r w:rsidRPr="001772A3">
        <w:rPr>
          <w:rFonts w:eastAsiaTheme="minorHAnsi"/>
          <w:lang w:val="mn-MN"/>
        </w:rPr>
        <w:t>Хэсэг нэгжийн ажилтнуудыг дотооддоо сургах сургалтад нийт давхардсан тоогоор 1,089 ажилтанд 812 цагийн сургалтыг зохион байгуулсан. Уурхайчдын бие даан сурч хөгжих боломжоор хангах, орчинг бүрдүүлэх, мэдээллийг шуурхай хүргэх зорилгоор мэдээллийн санг ажиллуулж байна. Мэргэжлийн, аюулгүй ажиллагааны, ур чадварын гэсэн 3 чиглэлээр 560 гаруй номын фондтой болж ажилтнуудад уншлагын картыг нээсэн. 2017 онд уурхайн үйлдвэрлэлийн баазыг түшиглэн их дээд сургууль болон мэргэжлийн сургалт үйлдвэрлэлийн төвтэй хамтран ажиллаж боловсон хүчний нөөцийг сонгон шалгаруулж авах бодлогын хүрээнд оюутан сурагчдад үйлдвэрлэлийн дадлага хийхэд нь 120 оюутанд арга зүйн дэмжлэг туслалцаа үзүүлж ажилласан.</w:t>
      </w:r>
    </w:p>
    <w:p w:rsidR="00CE30C3" w:rsidRPr="001772A3" w:rsidRDefault="00CE30C3" w:rsidP="00CE30C3">
      <w:pPr>
        <w:spacing w:after="120" w:line="276" w:lineRule="auto"/>
        <w:ind w:firstLine="720"/>
        <w:jc w:val="both"/>
        <w:rPr>
          <w:rFonts w:eastAsiaTheme="minorHAnsi"/>
          <w:lang w:val="mn-MN"/>
        </w:rPr>
      </w:pPr>
      <w:r w:rsidRPr="001772A3">
        <w:rPr>
          <w:rFonts w:eastAsiaTheme="minorHAnsi"/>
          <w:lang w:val="mn-MN"/>
        </w:rPr>
        <w:t xml:space="preserve">Мөн Хөдөлмөрийн тухай хуулийн 111.1 дэх заалтын дагуу </w:t>
      </w:r>
      <w:r w:rsidRPr="001772A3">
        <w:rPr>
          <w:rFonts w:eastAsiaTheme="minorHAnsi"/>
          <w:i/>
          <w:iCs/>
          <w:lang w:val="mn-MN"/>
        </w:rPr>
        <w:t>25, түүнээс дээш ажилтантай аж ахуйн нэгж, байгууллага/</w:t>
      </w:r>
      <w:r w:rsidRPr="001772A3">
        <w:rPr>
          <w:rFonts w:eastAsiaTheme="minorHAnsi"/>
          <w:lang w:val="mn-MN"/>
        </w:rPr>
        <w:t xml:space="preserve"> хөгжлийн бэрхшээлтэй 22 иргэнийг ажиллуулахаас 20 ажилтан ажиллаж байгаа.</w:t>
      </w:r>
    </w:p>
    <w:p w:rsidR="00CE30C3" w:rsidRPr="001772A3" w:rsidRDefault="00CE30C3" w:rsidP="00CE30C3">
      <w:pPr>
        <w:spacing w:after="240" w:line="276" w:lineRule="auto"/>
        <w:ind w:firstLine="720"/>
        <w:jc w:val="both"/>
        <w:rPr>
          <w:rFonts w:eastAsiaTheme="minorHAnsi"/>
          <w:lang w:val="mn-MN"/>
        </w:rPr>
      </w:pPr>
      <w:r w:rsidRPr="001772A3">
        <w:rPr>
          <w:rFonts w:eastAsiaTheme="minorHAnsi"/>
          <w:lang w:val="mn-MN"/>
        </w:rPr>
        <w:t xml:space="preserve">Тус компани 2017 онд иргэд болон ажилтнуудаас нийт 523 өргөдөл хүлээн авч, 373 буюу 71% нь шийдвэрлэсэн. Эзлэмжийн хувьд чөлөөний өргөдөл 152 буюу 20%-ийг эзлэж, </w:t>
      </w:r>
      <w:r w:rsidRPr="001772A3">
        <w:rPr>
          <w:rFonts w:eastAsiaTheme="minorHAnsi"/>
          <w:lang w:val="mn-MN"/>
        </w:rPr>
        <w:lastRenderedPageBreak/>
        <w:t>180 буюу 34% нь орон сууцтай холбоотой өргөдөл байна. 2017 онд орон сууцны хангамжийн асуудлаар 16 уурхайчинд орон сууц олгож, 15 уурхайчны орон сууцны нөхцөлийг сайжруулсан.</w:t>
      </w:r>
    </w:p>
    <w:p w:rsidR="00CE30C3" w:rsidRPr="001772A3" w:rsidRDefault="00CE30C3" w:rsidP="00CE30C3">
      <w:pPr>
        <w:spacing w:after="240" w:line="276" w:lineRule="auto"/>
        <w:jc w:val="center"/>
        <w:rPr>
          <w:rFonts w:eastAsiaTheme="minorHAnsi"/>
          <w:b/>
          <w:i/>
          <w:highlight w:val="yellow"/>
          <w:lang w:val="mn-MN"/>
        </w:rPr>
      </w:pPr>
      <w:r w:rsidRPr="001772A3">
        <w:rPr>
          <w:rFonts w:eastAsiaTheme="minorHAnsi"/>
          <w:b/>
          <w:i/>
          <w:lang w:val="mn-MN"/>
        </w:rPr>
        <w:t>ДӨРӨВ: ХӨДӨЛМӨРИЙН АЮУЛГҮЙ БАЙДАЛ, ЭРҮҮЛ АХУЙН ТАЛААР АВЧ ХЭРЭГЖҮҮЛСЭН АЖИЛ</w:t>
      </w:r>
    </w:p>
    <w:p w:rsidR="00CE30C3" w:rsidRPr="001772A3" w:rsidRDefault="00CE30C3" w:rsidP="00CE30C3">
      <w:pPr>
        <w:spacing w:after="240" w:line="276" w:lineRule="auto"/>
        <w:ind w:firstLine="720"/>
        <w:jc w:val="both"/>
        <w:rPr>
          <w:rFonts w:eastAsiaTheme="minorHAnsi"/>
          <w:lang w:val="mn-MN"/>
        </w:rPr>
      </w:pPr>
      <w:r w:rsidRPr="001772A3">
        <w:rPr>
          <w:rFonts w:eastAsiaTheme="minorHAnsi"/>
          <w:lang w:val="mn-MN"/>
        </w:rPr>
        <w:t>ХАБЭА-н хэлтсээс хөдөлмөрийн аюулгүй байдал эрүүл ахуйн чиглэлээр компанийн баримтлах бодлого зорилтынхоо хүрээнд ажилтнуудын ажлын байрны эрүүл ахуйг сайжруулах, ХАБ-ын мэдлэг олгох, зөв ажиллах арга барилд сургах, үйлдвэрлэлийн осол, мэргэжлээс шалтгаалах өвчлөл, хурц хордлогоос урьдчилан сэргийлэх, ХАБЭА-н удирдлагын тогтолцоог хэрэгжүүлэх, үйлдвэрлэлийн хэвийн үйл ажиллагааг хангах, байгалийн гамшиг, галын аюулаас урьдчилан сэргийлэх зорилгоор чиглэл тус бүрээр төлөвлөгөө гарган дараах ажлуудыг хийж хэрэгжүүлсэн. Үүнд:</w:t>
      </w:r>
    </w:p>
    <w:p w:rsidR="00CE30C3" w:rsidRPr="001772A3" w:rsidRDefault="00CE30C3" w:rsidP="00CE30C3">
      <w:pPr>
        <w:numPr>
          <w:ilvl w:val="0"/>
          <w:numId w:val="1"/>
        </w:numPr>
        <w:spacing w:after="160" w:line="276" w:lineRule="auto"/>
        <w:ind w:left="0" w:firstLine="720"/>
        <w:contextualSpacing/>
        <w:jc w:val="both"/>
        <w:rPr>
          <w:rFonts w:eastAsiaTheme="minorHAnsi"/>
          <w:lang w:val="mn-MN"/>
        </w:rPr>
      </w:pPr>
      <w:r w:rsidRPr="001772A3">
        <w:rPr>
          <w:rFonts w:eastAsiaTheme="minorHAnsi"/>
          <w:lang w:val="mn-MN"/>
        </w:rPr>
        <w:t>Компанийн нийт ажилтнуудад ХАБЭА-н сургалт явуулах үндсэн дүрэм MNS 4969:2000 стандарт, НХХЯамны сайдын 2016 оны 2 сард гарсан ХАБЭА-н сургалт явуулах, шалгалт авах журмын дагуу нийт ажилтны сургалтыг хэсэг, нэгж тус бүрээр хувааж явуулсан. Ажилд шинээр орсон 70, ажлын байр шилжиж ажилласан, албан тушаал өөрчлөгдсөн 79 ажилтан, Үйлдвэрлэлийн болон танилцах дадлага хийхээр ирсэн 174 оюутанд сургалт орж зааварчилгаа өгсөн.</w:t>
      </w:r>
    </w:p>
    <w:p w:rsidR="00CE30C3" w:rsidRPr="001772A3" w:rsidRDefault="00CE30C3" w:rsidP="00CE30C3">
      <w:pPr>
        <w:numPr>
          <w:ilvl w:val="0"/>
          <w:numId w:val="1"/>
        </w:numPr>
        <w:spacing w:after="160" w:line="276" w:lineRule="auto"/>
        <w:ind w:left="0" w:firstLine="720"/>
        <w:contextualSpacing/>
        <w:jc w:val="both"/>
        <w:rPr>
          <w:rFonts w:eastAsiaTheme="minorHAnsi"/>
          <w:lang w:val="mn-MN"/>
        </w:rPr>
      </w:pPr>
      <w:r w:rsidRPr="001772A3">
        <w:rPr>
          <w:rFonts w:eastAsiaTheme="minorHAnsi"/>
          <w:lang w:val="mn-MN"/>
        </w:rPr>
        <w:t>5 дугаар сарын 21-нд Говьсүмбэр аймгийн Онцгой байдлын газраас зохион байгуулсан сургалтанд ХАБЭА-н 2 инженер байгууллагын 21 ажилтны хамт оролцсон.</w:t>
      </w:r>
    </w:p>
    <w:p w:rsidR="00CE30C3" w:rsidRPr="001772A3" w:rsidRDefault="00CE30C3" w:rsidP="00CE30C3">
      <w:pPr>
        <w:numPr>
          <w:ilvl w:val="0"/>
          <w:numId w:val="1"/>
        </w:numPr>
        <w:spacing w:after="160" w:line="276" w:lineRule="auto"/>
        <w:ind w:left="0" w:firstLine="720"/>
        <w:contextualSpacing/>
        <w:jc w:val="both"/>
        <w:rPr>
          <w:rFonts w:eastAsiaTheme="minorHAnsi"/>
          <w:lang w:val="mn-MN"/>
        </w:rPr>
      </w:pPr>
      <w:r w:rsidRPr="001772A3">
        <w:rPr>
          <w:rFonts w:eastAsiaTheme="minorHAnsi"/>
          <w:lang w:val="mn-MN"/>
        </w:rPr>
        <w:t xml:space="preserve">Мөн Онцгой байдлын газартай хамтран компанийн  ажилтнуудын дунд “Гамшгийн үед ажиллах төлөвлөлт, бэлэн байдал, гамшгийн үеийн зохион байгуулалтанд орох, мэргэжлийн ангийн ажиллах”, “Галын аюулаас урьдчилан сэргийлэх, гамшиг, гамшигт үзэгдлийн талаар мэдлэг олгох” зэрэг сургалтыг явуулсан. </w:t>
      </w:r>
    </w:p>
    <w:p w:rsidR="00CE30C3" w:rsidRPr="001772A3" w:rsidRDefault="00CE30C3" w:rsidP="00CE30C3">
      <w:pPr>
        <w:numPr>
          <w:ilvl w:val="0"/>
          <w:numId w:val="1"/>
        </w:numPr>
        <w:spacing w:after="200" w:line="276" w:lineRule="auto"/>
        <w:ind w:left="0" w:firstLine="720"/>
        <w:contextualSpacing/>
        <w:jc w:val="both"/>
        <w:rPr>
          <w:rFonts w:eastAsiaTheme="minorHAnsi"/>
          <w:lang w:val="mn-MN"/>
        </w:rPr>
      </w:pPr>
      <w:r w:rsidRPr="001772A3">
        <w:rPr>
          <w:rFonts w:eastAsiaTheme="minorHAnsi"/>
          <w:lang w:val="mn-MN"/>
        </w:rPr>
        <w:t>Компанийн нийт хэсэг, нэгжүүдийн наряд, аюулгүй ажиллагааны зааварчилгаа өгдөг 27 инженер техникийн ажилтнуудад ажлын даалгавар өгөх, гүйцэтгэх ажилд нь тохирсон аюулгүй ажиллагааны зааварчилгаа өгөх сэдвээр сургалт орсон.</w:t>
      </w:r>
    </w:p>
    <w:p w:rsidR="00CE30C3" w:rsidRPr="001772A3" w:rsidRDefault="00CE30C3" w:rsidP="00CE30C3">
      <w:pPr>
        <w:numPr>
          <w:ilvl w:val="0"/>
          <w:numId w:val="1"/>
        </w:numPr>
        <w:spacing w:after="200" w:line="276" w:lineRule="auto"/>
        <w:ind w:left="0" w:firstLine="720"/>
        <w:contextualSpacing/>
        <w:jc w:val="both"/>
        <w:rPr>
          <w:rFonts w:eastAsiaTheme="minorHAnsi"/>
          <w:lang w:val="mn-MN"/>
        </w:rPr>
      </w:pPr>
      <w:r w:rsidRPr="001772A3">
        <w:rPr>
          <w:rFonts w:eastAsiaTheme="minorHAnsi"/>
          <w:lang w:val="mn-MN"/>
        </w:rPr>
        <w:t xml:space="preserve">Компанийн ажил олгогч, удирдах ажилтны ХАБЭА-н сургалтыг “Уул уурхайн хүний нөөцийн хөгжил” ТББ, “ЭС ЭФ СИ ЭС” консалтингтай хамтран 11 дүгээр сарын 13-15-ны хооронд зохион байгуулсан. Уг сургалтанд компанийн Гүйцэтгэх захирал, СХТДэд захирал, Ерөнхий инженер, хэлтсийн дарга, ерөнхий мэргэжилтнүүд зэрэг 16 удирдах ажилтан хамрагдсан. </w:t>
      </w:r>
    </w:p>
    <w:p w:rsidR="00CE30C3" w:rsidRPr="001772A3" w:rsidRDefault="00CE30C3" w:rsidP="00CE30C3">
      <w:pPr>
        <w:numPr>
          <w:ilvl w:val="0"/>
          <w:numId w:val="1"/>
        </w:numPr>
        <w:spacing w:after="200" w:line="276" w:lineRule="auto"/>
        <w:ind w:left="0" w:firstLine="720"/>
        <w:contextualSpacing/>
        <w:jc w:val="both"/>
        <w:rPr>
          <w:rFonts w:eastAsiaTheme="minorHAnsi"/>
          <w:lang w:val="mn-MN"/>
        </w:rPr>
      </w:pPr>
      <w:r w:rsidRPr="001772A3">
        <w:rPr>
          <w:rFonts w:eastAsiaTheme="minorHAnsi"/>
          <w:lang w:val="mn-MN"/>
        </w:rPr>
        <w:t>Компанийн хөдөлмөрийн аюулгүй байдал эрүүл ахуй хариуцсан ажилтны сургалтыг “УУХНХ” ТББ-тай хамтран 11 дүгээр сарын 13-16-ны хооронд байгууллага дээрээ 40 цагийн сургалтыг ХАБЭА-н хэлтсийн 6 инженер техникийн ажилтнуудад зохион байгуулсан.</w:t>
      </w:r>
    </w:p>
    <w:p w:rsidR="00CE30C3" w:rsidRPr="001772A3" w:rsidRDefault="00CE30C3" w:rsidP="00CE30C3">
      <w:pPr>
        <w:numPr>
          <w:ilvl w:val="0"/>
          <w:numId w:val="1"/>
        </w:numPr>
        <w:spacing w:after="200" w:line="276" w:lineRule="auto"/>
        <w:ind w:left="0" w:firstLine="720"/>
        <w:contextualSpacing/>
        <w:jc w:val="both"/>
        <w:rPr>
          <w:rFonts w:eastAsiaTheme="minorHAnsi"/>
          <w:lang w:val="mn-MN"/>
        </w:rPr>
      </w:pPr>
      <w:r w:rsidRPr="001772A3">
        <w:rPr>
          <w:rFonts w:eastAsiaTheme="minorHAnsi"/>
          <w:lang w:val="mn-MN"/>
        </w:rPr>
        <w:t>Байгууллагын бүх объект, барилга байгууламж, өрөө тасалгаануудад галын аюулгүй байдлын иж бүрэн үзлэгийг 6 дугаар сарын 29-30 ны өдрүүдэд Говьсүмбэр аймгийн Онцгой байдлын газартай хамтран хийж гүйцэтгэсэн бөгөөд илэрсэн зөрчлийн талаар өгсөн зөвлөмж, албан шаардлагыг бүрэн биелүүлсэн.</w:t>
      </w:r>
    </w:p>
    <w:p w:rsidR="00CE30C3" w:rsidRPr="001772A3" w:rsidRDefault="00CE30C3" w:rsidP="00CE30C3">
      <w:pPr>
        <w:numPr>
          <w:ilvl w:val="0"/>
          <w:numId w:val="1"/>
        </w:numPr>
        <w:spacing w:after="200" w:line="276" w:lineRule="auto"/>
        <w:ind w:left="0" w:firstLine="720"/>
        <w:contextualSpacing/>
        <w:jc w:val="both"/>
        <w:rPr>
          <w:rFonts w:eastAsiaTheme="minorHAnsi"/>
          <w:lang w:val="mn-MN"/>
        </w:rPr>
      </w:pPr>
      <w:r w:rsidRPr="001772A3">
        <w:rPr>
          <w:rFonts w:eastAsiaTheme="minorHAnsi"/>
          <w:lang w:val="mn-MN"/>
        </w:rPr>
        <w:t xml:space="preserve">ХАБЭА-н ээлжит үзлэг, улирал бүрт хийгддэг хяналтын 3 дугаар шатны үзлэгийг Компанийн аль нэг ерөнхий мэргэжилтний нэрэмжит болгон ХАБЭА-н зөвлөлийн </w:t>
      </w:r>
      <w:r w:rsidRPr="001772A3">
        <w:rPr>
          <w:rFonts w:eastAsiaTheme="minorHAnsi"/>
          <w:lang w:val="mn-MN"/>
        </w:rPr>
        <w:lastRenderedPageBreak/>
        <w:t>гишүүд, хэлтсийн инженерүүд, Үйлдвэрчний эвлэлийн хорооны төлөөлөгч, ээлжийн эмч нарын бүрэлдэхүүнтэйгээр  бүх ажлын байр, барилга байгууламж, хэсэг нэгжүүдэд хийдэг бөгөөд жилийн эцсийн байдлаар 587 зөрчил илрүүлж, 392 зөрчлийг нь бүрэн арилган 131 зөрчил хариуцсан ИТА-уудтай холбогдолтой арилаагүй, 64 зөрчил худалдан авах үйл ажиллагаатай холбогдолтой байна. 3 дугаар шатны үзлэгийн тайланг Захирлын зөвлөлийн хурлаар оруулж танилцуулан зөрчилгүй хамт олныг шагнах, зөрчилтэй хэсэг, нэгжийн удирдлагад арга хэмжээ авахуулах санал оруулж шийдвэр гаргуулж байна.</w:t>
      </w:r>
    </w:p>
    <w:p w:rsidR="00CE30C3" w:rsidRPr="001772A3" w:rsidRDefault="00CE30C3" w:rsidP="00CE30C3">
      <w:pPr>
        <w:numPr>
          <w:ilvl w:val="0"/>
          <w:numId w:val="1"/>
        </w:numPr>
        <w:spacing w:after="160" w:line="276" w:lineRule="auto"/>
        <w:ind w:left="0" w:firstLine="720"/>
        <w:contextualSpacing/>
        <w:jc w:val="both"/>
        <w:rPr>
          <w:rFonts w:eastAsiaTheme="minorHAnsi"/>
          <w:lang w:val="mn-MN"/>
        </w:rPr>
      </w:pPr>
      <w:r w:rsidRPr="001772A3">
        <w:rPr>
          <w:rFonts w:eastAsiaTheme="minorHAnsi"/>
          <w:lang w:val="mn-MN"/>
        </w:rPr>
        <w:t>10 дугаар сард компанийн нийт хэсэг, нэгжүүдийн дунд ХАБЭА-н хууль, дүрэм, заавар, эмнэлэгийн анхны тусламж, галын аюулгүй байдлаар мэдлэг сорих уралдаан, цэнгээнт АСТ-ийг зохион байгуулав.</w:t>
      </w:r>
    </w:p>
    <w:p w:rsidR="00CE30C3" w:rsidRPr="001772A3" w:rsidRDefault="00CE30C3" w:rsidP="00CE30C3">
      <w:pPr>
        <w:numPr>
          <w:ilvl w:val="0"/>
          <w:numId w:val="1"/>
        </w:numPr>
        <w:spacing w:after="160" w:line="276" w:lineRule="auto"/>
        <w:ind w:left="0" w:firstLine="720"/>
        <w:contextualSpacing/>
        <w:jc w:val="both"/>
        <w:rPr>
          <w:rFonts w:eastAsiaTheme="minorHAnsi"/>
          <w:lang w:val="mn-MN"/>
        </w:rPr>
      </w:pPr>
      <w:r w:rsidRPr="001772A3">
        <w:rPr>
          <w:rFonts w:eastAsiaTheme="minorHAnsi"/>
          <w:lang w:val="mn-MN"/>
        </w:rPr>
        <w:t xml:space="preserve">Уурхайн эзэмшлийн зам, талбай </w:t>
      </w:r>
      <w:r w:rsidRPr="001772A3">
        <w:rPr>
          <w:rFonts w:eastAsiaTheme="minorHAnsi"/>
          <w:i/>
          <w:lang w:val="mn-MN"/>
        </w:rPr>
        <w:t>/үүнд: уурхайн талбайн зам, карьерийн зам, отвалын зам, уурхайгаас сумын төв орох маршрутын зам/</w:t>
      </w:r>
      <w:r w:rsidRPr="001772A3">
        <w:rPr>
          <w:rFonts w:eastAsiaTheme="minorHAnsi"/>
          <w:lang w:val="mn-MN"/>
        </w:rPr>
        <w:t xml:space="preserve"> -н замуудын тэмдэг тэмдэглэгээг сайжруулж 23 тэмдэг, тэмдэглэгээг нэмж байршуулав.</w:t>
      </w:r>
    </w:p>
    <w:p w:rsidR="00CE30C3" w:rsidRPr="001772A3" w:rsidRDefault="00CE30C3" w:rsidP="00CE30C3">
      <w:pPr>
        <w:numPr>
          <w:ilvl w:val="0"/>
          <w:numId w:val="1"/>
        </w:numPr>
        <w:spacing w:after="160" w:line="276" w:lineRule="auto"/>
        <w:ind w:left="0" w:firstLine="720"/>
        <w:contextualSpacing/>
        <w:jc w:val="both"/>
        <w:rPr>
          <w:rFonts w:eastAsiaTheme="minorHAnsi"/>
          <w:lang w:val="mn-MN"/>
        </w:rPr>
      </w:pPr>
      <w:r w:rsidRPr="001772A3">
        <w:rPr>
          <w:rFonts w:eastAsiaTheme="minorHAnsi"/>
          <w:lang w:val="mn-MN"/>
        </w:rPr>
        <w:t>Компанийн нийт ажлын байруудад 9 дүгээр сараас 11-р сарын хооронд анхааруулах, сануулах зурагт хуудас, санамж, тэмдэг, тэмдэглэгээнүүдийг байрлуулсан.</w:t>
      </w:r>
    </w:p>
    <w:p w:rsidR="00CE30C3" w:rsidRPr="001772A3" w:rsidRDefault="00CE30C3" w:rsidP="00CE30C3">
      <w:pPr>
        <w:numPr>
          <w:ilvl w:val="0"/>
          <w:numId w:val="1"/>
        </w:numPr>
        <w:spacing w:after="160" w:line="276" w:lineRule="auto"/>
        <w:ind w:left="0" w:firstLine="720"/>
        <w:contextualSpacing/>
        <w:jc w:val="both"/>
        <w:rPr>
          <w:rFonts w:eastAsiaTheme="minorHAnsi"/>
          <w:lang w:val="mn-MN"/>
        </w:rPr>
      </w:pPr>
      <w:r w:rsidRPr="001772A3">
        <w:rPr>
          <w:rFonts w:eastAsiaTheme="minorHAnsi"/>
          <w:lang w:val="mn-MN"/>
        </w:rPr>
        <w:t>Хөдөлмөрийн аюулгүй байдал, эрүүл мэндийн төвөөр хийлгэсэн Хөдөлмөрийн нөхцөлийн үнэлгээний дагуу хэвийн бус нөхцөлд ажиллаж байгаа ажилтнуудын жагсаалт гарган 92 ажлын байрны нийт 447 ажилтанд 2017 оны 3 дугаар сараас хор саармагжуулах бүтээгдэхүүнийг олгож байна.</w:t>
      </w:r>
    </w:p>
    <w:p w:rsidR="00CE30C3" w:rsidRPr="001772A3" w:rsidRDefault="00CE30C3" w:rsidP="00CE30C3">
      <w:pPr>
        <w:numPr>
          <w:ilvl w:val="0"/>
          <w:numId w:val="1"/>
        </w:numPr>
        <w:spacing w:after="160" w:line="276" w:lineRule="auto"/>
        <w:ind w:left="0" w:firstLine="720"/>
        <w:contextualSpacing/>
        <w:jc w:val="both"/>
        <w:rPr>
          <w:rFonts w:eastAsiaTheme="minorHAnsi"/>
          <w:lang w:val="mn-MN"/>
        </w:rPr>
      </w:pPr>
      <w:r w:rsidRPr="001772A3">
        <w:rPr>
          <w:rFonts w:eastAsiaTheme="minorHAnsi"/>
          <w:lang w:val="mn-MN"/>
        </w:rPr>
        <w:t>“ТОП ВЕЛНЕС ТРЕЙДИНГ” ХХК-ийн эмч нартай хамтран ”Эрүүл монгол ажилтан” хөтөлбөрийн хүрээнд “Зүрх судас, даралт ихсэх өвчин, үе мөчний өвчин, ходоодны өвчин, чихрийн шижин өвчин, хавдрын өвчин”-гэсэн сэдвүүдээр нийт 268 ажилтнуудыг 2 өдрийн 16 цагийн сургалтанд хамруулсан.</w:t>
      </w:r>
    </w:p>
    <w:p w:rsidR="00CE30C3" w:rsidRPr="001772A3" w:rsidRDefault="00CE30C3" w:rsidP="00CE30C3">
      <w:pPr>
        <w:spacing w:after="240" w:line="276" w:lineRule="auto"/>
        <w:jc w:val="center"/>
        <w:rPr>
          <w:rFonts w:eastAsia="+mj-ea"/>
          <w:b/>
          <w:bCs/>
          <w:color w:val="000000"/>
          <w:kern w:val="24"/>
          <w:lang w:val="mn-MN"/>
        </w:rPr>
      </w:pPr>
      <w:r w:rsidRPr="001772A3">
        <w:rPr>
          <w:rFonts w:eastAsia="+mj-ea"/>
          <w:b/>
          <w:bCs/>
          <w:color w:val="000000"/>
          <w:kern w:val="24"/>
          <w:lang w:val="mn-MN"/>
        </w:rPr>
        <w:t>Урьдчилан сэргийлэх үзлэг</w:t>
      </w:r>
    </w:p>
    <w:p w:rsidR="00CE30C3" w:rsidRPr="001772A3" w:rsidRDefault="00CE30C3" w:rsidP="00CE30C3">
      <w:pPr>
        <w:spacing w:after="240" w:line="276" w:lineRule="auto"/>
        <w:jc w:val="both"/>
        <w:rPr>
          <w:rFonts w:eastAsiaTheme="minorHAnsi"/>
          <w:b/>
          <w:color w:val="0070C0"/>
          <w:highlight w:val="yellow"/>
          <w:lang w:val="mn-MN"/>
        </w:rPr>
      </w:pPr>
      <w:r w:rsidRPr="001772A3">
        <w:rPr>
          <w:rFonts w:eastAsiaTheme="minorHAnsi"/>
          <w:b/>
          <w:noProof/>
          <w:color w:val="0070C0"/>
          <w:highlight w:val="yellow"/>
        </w:rPr>
        <w:drawing>
          <wp:inline distT="0" distB="0" distL="0" distR="0" wp14:anchorId="42DE6F43" wp14:editId="6A5F4317">
            <wp:extent cx="5913755" cy="128957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3755" cy="1289577"/>
                    </a:xfrm>
                    <a:prstGeom prst="rect">
                      <a:avLst/>
                    </a:prstGeom>
                    <a:noFill/>
                  </pic:spPr>
                </pic:pic>
              </a:graphicData>
            </a:graphic>
          </wp:inline>
        </w:drawing>
      </w:r>
    </w:p>
    <w:p w:rsidR="00CE30C3" w:rsidRPr="001772A3" w:rsidRDefault="00CE30C3" w:rsidP="00CE30C3">
      <w:pPr>
        <w:spacing w:after="240" w:line="276" w:lineRule="auto"/>
        <w:jc w:val="center"/>
        <w:rPr>
          <w:rFonts w:eastAsiaTheme="minorHAnsi"/>
          <w:b/>
          <w:lang w:val="mn-MN"/>
        </w:rPr>
      </w:pPr>
      <w:r w:rsidRPr="001772A3">
        <w:rPr>
          <w:rFonts w:eastAsiaTheme="minorHAnsi"/>
          <w:b/>
          <w:lang w:val="mn-MN"/>
        </w:rPr>
        <w:t>Урьдчилан сэргийлэх шинжилгээ, вакцинжуулалт</w:t>
      </w:r>
    </w:p>
    <w:p w:rsidR="00CE30C3" w:rsidRPr="001772A3" w:rsidRDefault="00CE30C3" w:rsidP="00CE30C3">
      <w:pPr>
        <w:spacing w:after="240" w:line="276" w:lineRule="auto"/>
        <w:rPr>
          <w:rFonts w:eastAsiaTheme="minorHAnsi"/>
          <w:b/>
          <w:lang w:val="mn-MN"/>
        </w:rPr>
      </w:pPr>
      <w:r w:rsidRPr="001772A3">
        <w:rPr>
          <w:rFonts w:eastAsiaTheme="minorHAnsi"/>
          <w:b/>
          <w:noProof/>
          <w:color w:val="0070C0"/>
          <w:highlight w:val="yellow"/>
        </w:rPr>
        <w:drawing>
          <wp:inline distT="0" distB="0" distL="0" distR="0" wp14:anchorId="639DBCD1" wp14:editId="35619A9C">
            <wp:extent cx="5876925" cy="15445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462" cy="1547082"/>
                    </a:xfrm>
                    <a:prstGeom prst="rect">
                      <a:avLst/>
                    </a:prstGeom>
                    <a:noFill/>
                    <a:ln>
                      <a:noFill/>
                    </a:ln>
                  </pic:spPr>
                </pic:pic>
              </a:graphicData>
            </a:graphic>
          </wp:inline>
        </w:drawing>
      </w:r>
    </w:p>
    <w:p w:rsidR="00CE30C3" w:rsidRPr="001772A3" w:rsidRDefault="00CE30C3" w:rsidP="00CE30C3">
      <w:pPr>
        <w:spacing w:after="240" w:line="276" w:lineRule="auto"/>
        <w:jc w:val="center"/>
        <w:rPr>
          <w:rFonts w:eastAsiaTheme="minorHAnsi"/>
          <w:b/>
          <w:color w:val="0070C0"/>
          <w:highlight w:val="yellow"/>
          <w:lang w:val="mn-MN"/>
        </w:rPr>
      </w:pPr>
      <w:r w:rsidRPr="001772A3">
        <w:rPr>
          <w:rFonts w:eastAsiaTheme="minorHAnsi"/>
          <w:b/>
          <w:lang w:val="mn-MN"/>
        </w:rPr>
        <w:lastRenderedPageBreak/>
        <w:t>Үйлдвэрлэлийн осол</w:t>
      </w:r>
    </w:p>
    <w:p w:rsidR="00CE30C3" w:rsidRPr="001772A3" w:rsidRDefault="00CE30C3" w:rsidP="00CE30C3">
      <w:pPr>
        <w:spacing w:after="240" w:line="276" w:lineRule="auto"/>
        <w:jc w:val="both"/>
        <w:rPr>
          <w:rFonts w:eastAsiaTheme="minorHAnsi"/>
          <w:noProof/>
        </w:rPr>
      </w:pPr>
      <w:r w:rsidRPr="001772A3">
        <w:rPr>
          <w:rFonts w:eastAsiaTheme="minorHAnsi"/>
          <w:noProof/>
        </w:rPr>
        <w:drawing>
          <wp:inline distT="0" distB="0" distL="0" distR="0" wp14:anchorId="7C750FBC" wp14:editId="31E9A0ED">
            <wp:extent cx="5896051" cy="2168525"/>
            <wp:effectExtent l="0" t="0" r="952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99108" cy="2169649"/>
                    </a:xfrm>
                    <a:prstGeom prst="rect">
                      <a:avLst/>
                    </a:prstGeom>
                    <a:noFill/>
                  </pic:spPr>
                </pic:pic>
              </a:graphicData>
            </a:graphic>
          </wp:inline>
        </w:drawing>
      </w:r>
    </w:p>
    <w:p w:rsidR="00CE30C3" w:rsidRPr="001772A3" w:rsidRDefault="00CE30C3" w:rsidP="00CE30C3">
      <w:pPr>
        <w:spacing w:line="276" w:lineRule="auto"/>
        <w:ind w:firstLine="720"/>
        <w:jc w:val="both"/>
        <w:rPr>
          <w:rFonts w:eastAsia="Times New Roman"/>
          <w:lang w:val="mn-MN"/>
        </w:rPr>
      </w:pPr>
      <w:r w:rsidRPr="001772A3">
        <w:rPr>
          <w:rFonts w:eastAsia="Times New Roman"/>
          <w:lang w:val="mn-MN"/>
        </w:rPr>
        <w:t xml:space="preserve">Тайлан гаргасан: </w:t>
      </w:r>
    </w:p>
    <w:p w:rsidR="00CE30C3" w:rsidRPr="001772A3" w:rsidRDefault="00CE30C3" w:rsidP="00CE30C3">
      <w:pPr>
        <w:spacing w:line="276" w:lineRule="auto"/>
        <w:ind w:firstLine="720"/>
        <w:jc w:val="both"/>
        <w:rPr>
          <w:rFonts w:eastAsia="Times New Roman"/>
          <w:lang w:val="mn-MN"/>
        </w:rPr>
      </w:pPr>
      <w:r w:rsidRPr="001772A3">
        <w:rPr>
          <w:rFonts w:eastAsia="Times New Roman"/>
          <w:lang w:val="mn-MN"/>
        </w:rPr>
        <w:t>“ШИВЭЭ-ОВОО” ХУВЬЦААТ КОМПАНИЙН ГҮЙЦЭТГЭХ ЗАХИРАЛ</w:t>
      </w:r>
    </w:p>
    <w:p w:rsidR="00561EBB" w:rsidRDefault="00CE30C3" w:rsidP="00CE30C3">
      <w:r w:rsidRPr="001772A3">
        <w:rPr>
          <w:rFonts w:eastAsia="Times New Roman"/>
          <w:lang w:val="mn-MN"/>
        </w:rPr>
        <w:tab/>
      </w:r>
      <w:r w:rsidRPr="001772A3">
        <w:rPr>
          <w:rFonts w:eastAsia="Times New Roman"/>
          <w:lang w:val="mn-MN"/>
        </w:rPr>
        <w:tab/>
      </w:r>
      <w:r w:rsidRPr="001772A3">
        <w:rPr>
          <w:rFonts w:eastAsia="Times New Roman"/>
          <w:lang w:val="mn-MN"/>
        </w:rPr>
        <w:tab/>
      </w:r>
      <w:r w:rsidRPr="001772A3">
        <w:rPr>
          <w:rFonts w:eastAsia="Times New Roman"/>
          <w:lang w:val="mn-MN"/>
        </w:rPr>
        <w:tab/>
      </w:r>
      <w:r w:rsidRPr="001772A3">
        <w:rPr>
          <w:rFonts w:eastAsia="Times New Roman"/>
          <w:lang w:val="mn-MN"/>
        </w:rPr>
        <w:tab/>
      </w:r>
    </w:p>
    <w:sectPr w:rsidR="00561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j-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72D33"/>
    <w:multiLevelType w:val="hybridMultilevel"/>
    <w:tmpl w:val="D20A5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1A2C61"/>
    <w:multiLevelType w:val="hybridMultilevel"/>
    <w:tmpl w:val="F31E7534"/>
    <w:lvl w:ilvl="0" w:tplc="CD769D2E">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D52876"/>
    <w:multiLevelType w:val="hybridMultilevel"/>
    <w:tmpl w:val="5F746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C3"/>
    <w:rsid w:val="005C1118"/>
    <w:rsid w:val="00CE30C3"/>
    <w:rsid w:val="00D92D81"/>
    <w:rsid w:val="00F50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5C70"/>
  <w15:chartTrackingRefBased/>
  <w15:docId w15:val="{90884439-8BF8-43D9-84EC-350A4D6E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3"/>
    <w:pPr>
      <w:spacing w:after="0" w:line="240" w:lineRule="auto"/>
    </w:pPr>
    <w:rPr>
      <w:rFonts w:ascii="Arial" w:eastAsiaTheme="minorEastAsia"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CE30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E3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2961</Words>
  <Characters>16878</Characters>
  <Application>Microsoft Office Word</Application>
  <DocSecurity>0</DocSecurity>
  <Lines>140</Lines>
  <Paragraphs>39</Paragraphs>
  <ScaleCrop>false</ScaleCrop>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2018-06-29T04:56:00Z</dcterms:created>
  <dcterms:modified xsi:type="dcterms:W3CDTF">2018-06-29T05:37:00Z</dcterms:modified>
</cp:coreProperties>
</file>