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center"/>
        <w:rPr>
          <w:rFonts w:ascii="Times New Roman" w:hAnsi="Times New Roman" w:eastAsia="Times New Roman" w:cs="Times New Roman"/>
          <w:b/>
          <w:lang w:val="mn-MN"/>
        </w:rPr>
      </w:pPr>
      <w:bookmarkStart w:id="0" w:name="_GoBack"/>
      <w:bookmarkEnd w:id="0"/>
      <w:r>
        <w:rPr>
          <w:rFonts w:ascii="Times New Roman" w:hAnsi="Times New Roman" w:eastAsia="Times New Roman" w:cs="Times New Roman"/>
          <w:b/>
          <w:lang w:val="mn-MN"/>
        </w:rPr>
        <w:t>3.ҮЙЛ АЖИЛЛАГААНЫ ТАЙЛАН, МЭДЭЭЛЭЛ</w:t>
      </w:r>
    </w:p>
    <w:p>
      <w:pPr>
        <w:spacing w:after="0" w:line="240" w:lineRule="auto"/>
        <w:rPr>
          <w:rFonts w:ascii="Times New Roman" w:hAnsi="Times New Roman" w:eastAsia="Times New Roman" w:cs="Times New Roman"/>
          <w:b/>
          <w:lang w:val="mn-MN"/>
        </w:rPr>
      </w:pPr>
    </w:p>
    <w:p>
      <w:pPr>
        <w:spacing w:after="0" w:line="240" w:lineRule="auto"/>
        <w:rPr>
          <w:rFonts w:ascii="Times New Roman" w:hAnsi="Times New Roman" w:eastAsia="Times New Roman" w:cs="Times New Roman"/>
          <w:i/>
          <w:lang w:val="mn-MN"/>
        </w:rPr>
      </w:pPr>
      <w:r>
        <w:rPr>
          <w:rFonts w:ascii="Times New Roman" w:hAnsi="Times New Roman" w:eastAsia="Times New Roman" w:cs="Times New Roman"/>
          <w:i/>
          <w:lang w:val="mn-MN"/>
        </w:rPr>
        <w:t>МАЯГТ №-8</w:t>
      </w:r>
      <w:r>
        <w:rPr>
          <w:rFonts w:ascii="Times New Roman" w:hAnsi="Times New Roman" w:eastAsia="Times New Roman" w:cs="Times New Roman"/>
          <w:b/>
          <w:lang w:val="mn-MN"/>
        </w:rPr>
        <w:t xml:space="preserve"> </w:t>
      </w:r>
      <w:r>
        <w:rPr>
          <w:rFonts w:ascii="Times New Roman" w:hAnsi="Times New Roman" w:eastAsia="Times New Roman" w:cs="Times New Roman"/>
          <w:i/>
          <w:lang w:val="mn-MN"/>
        </w:rPr>
        <w:t>ЖИЛИЙН /ХАГАС ЖИЛИЙН/ ҮЙЛ АЖИЛЛАГААНЫ ТАЙЛАН</w:t>
      </w:r>
    </w:p>
    <w:tbl>
      <w:tblPr>
        <w:tblStyle w:val="5"/>
        <w:tblW w:w="104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3" w:hRule="atLeast"/>
        </w:trPr>
        <w:tc>
          <w:tcPr>
            <w:tcW w:w="10434" w:type="dxa"/>
          </w:tcPr>
          <w:p>
            <w:pPr>
              <w:widowControl w:val="0"/>
              <w:numPr>
                <w:ilvl w:val="0"/>
                <w:numId w:val="1"/>
              </w:numPr>
              <w:spacing w:after="0" w:line="240" w:lineRule="auto"/>
              <w:ind w:right="95"/>
              <w:outlineLvl w:val="1"/>
              <w:rPr>
                <w:rFonts w:ascii="Times New Roman" w:hAnsi="Times New Roman" w:eastAsia="Times New Roman" w:cs="Times New Roman"/>
                <w:bCs/>
                <w:iCs/>
                <w:lang w:val="mn-MN"/>
              </w:rPr>
            </w:pPr>
            <w:r>
              <w:rPr>
                <w:rFonts w:ascii="Times New Roman" w:hAnsi="Times New Roman" w:eastAsia="Times New Roman" w:cs="Times New Roman"/>
                <w:b/>
                <w:bCs/>
                <w:i/>
                <w:iCs/>
                <w:color w:val="000000"/>
              </w:rPr>
              <w:t>Компанийн бизнесийн үйл ажиллагааны талаарх мэдээлэл</w:t>
            </w:r>
            <w:r>
              <w:rPr>
                <w:rFonts w:ascii="Times New Roman" w:hAnsi="Times New Roman" w:eastAsia="Times New Roman" w:cs="Times New Roman"/>
                <w:b/>
                <w:bCs/>
                <w:i/>
                <w:iCs/>
                <w:color w:val="000000"/>
                <w:lang w:val="mn-MN"/>
              </w:rPr>
              <w:t xml:space="preserve"> </w:t>
            </w:r>
          </w:p>
          <w:p>
            <w:pPr>
              <w:widowControl w:val="0"/>
              <w:numPr>
                <w:ilvl w:val="0"/>
                <w:numId w:val="0"/>
              </w:numPr>
              <w:spacing w:after="0" w:line="240" w:lineRule="auto"/>
              <w:ind w:leftChars="0" w:right="95" w:rightChars="0"/>
              <w:outlineLvl w:val="1"/>
              <w:rPr>
                <w:rFonts w:ascii="Times New Roman" w:hAnsi="Times New Roman" w:eastAsia="Calibri" w:cs="Times New Roman"/>
                <w:b w:val="0"/>
                <w:bCs w:val="0"/>
                <w:lang w:val="mn-MN"/>
              </w:rPr>
            </w:pPr>
            <w:r>
              <w:rPr>
                <w:rFonts w:hint="default" w:ascii="Times New Roman" w:hAnsi="Times New Roman" w:eastAsia="Times New Roman" w:cs="Times New Roman"/>
                <w:b/>
                <w:bCs/>
                <w:i/>
                <w:iCs/>
                <w:color w:val="000000"/>
                <w:lang w:val="mn-MN"/>
              </w:rPr>
              <w:t xml:space="preserve"> </w:t>
            </w:r>
            <w:r>
              <w:rPr>
                <w:rFonts w:hint="default" w:ascii="Times New Roman" w:hAnsi="Times New Roman" w:eastAsia="Times New Roman" w:cs="Times New Roman"/>
                <w:b w:val="0"/>
                <w:bCs w:val="0"/>
                <w:i/>
                <w:iCs/>
                <w:color w:val="000000"/>
                <w:lang w:val="mn-MN"/>
              </w:rPr>
              <w:t>“БЭРХ УУЛ” ХК нь 2019 онд нүүрс олборлон борлуулах чиглэлээр үйл ажиллагаа явуулсан.</w:t>
            </w:r>
          </w:p>
          <w:p>
            <w:pPr>
              <w:spacing w:after="0" w:line="240" w:lineRule="auto"/>
              <w:rPr>
                <w:rFonts w:ascii="Times New Roman" w:hAnsi="Times New Roman" w:eastAsia="Calibri" w:cs="Times New Roman"/>
                <w:lang w:val="mn-MN"/>
              </w:rPr>
            </w:pPr>
          </w:p>
          <w:p>
            <w:pPr>
              <w:numPr>
                <w:ilvl w:val="0"/>
                <w:numId w:val="1"/>
              </w:numPr>
              <w:spacing w:after="0" w:line="240" w:lineRule="auto"/>
              <w:contextualSpacing/>
              <w:rPr>
                <w:rFonts w:ascii="Times New Roman" w:hAnsi="Times New Roman" w:eastAsia="Calibri" w:cs="Times New Roman"/>
                <w:color w:val="000000"/>
                <w:lang w:val="mn-MN"/>
              </w:rPr>
            </w:pPr>
            <w:r>
              <w:rPr>
                <w:rFonts w:ascii="Times New Roman" w:hAnsi="Times New Roman" w:eastAsia="Calibri" w:cs="Times New Roman"/>
                <w:b/>
                <w:bCs/>
                <w:i/>
                <w:color w:val="000000"/>
              </w:rPr>
              <w:t xml:space="preserve"> Удирдлагын талаарх мэдээлэл</w:t>
            </w:r>
            <w:r>
              <w:rPr>
                <w:rFonts w:ascii="Times New Roman" w:hAnsi="Times New Roman" w:eastAsia="Calibri" w:cs="Times New Roman"/>
                <w:b/>
                <w:bCs/>
                <w:color w:val="000000"/>
                <w:lang w:val="mn-MN"/>
              </w:rPr>
              <w:t xml:space="preserve"> </w:t>
            </w:r>
          </w:p>
          <w:p>
            <w:pPr>
              <w:numPr>
                <w:ilvl w:val="0"/>
                <w:numId w:val="0"/>
              </w:numPr>
              <w:spacing w:after="0" w:line="240" w:lineRule="auto"/>
              <w:ind w:leftChars="0"/>
              <w:contextualSpacing/>
              <w:rPr>
                <w:rFonts w:ascii="Times New Roman" w:hAnsi="Times New Roman" w:eastAsia="Calibri" w:cs="Times New Roman"/>
                <w:color w:val="000000"/>
                <w:lang w:val="mn-MN"/>
              </w:rPr>
            </w:pPr>
          </w:p>
          <w:p>
            <w:pPr>
              <w:spacing w:after="0" w:line="240" w:lineRule="auto"/>
              <w:ind w:left="360"/>
              <w:contextualSpacing/>
              <w:rPr>
                <w:rFonts w:hint="default" w:ascii="Times New Roman" w:hAnsi="Times New Roman" w:eastAsia="Calibri" w:cs="Times New Roman"/>
                <w:b w:val="0"/>
                <w:bCs w:val="0"/>
                <w:i/>
                <w:iCs/>
                <w:color w:val="000000"/>
                <w:lang w:val="mn-MN"/>
              </w:rPr>
            </w:pPr>
            <w:r>
              <w:rPr>
                <w:rFonts w:ascii="Times New Roman" w:hAnsi="Times New Roman" w:eastAsia="Calibri" w:cs="Times New Roman"/>
                <w:b w:val="0"/>
                <w:bCs w:val="0"/>
                <w:i/>
                <w:iCs/>
                <w:color w:val="000000"/>
                <w:lang w:val="mn-MN"/>
              </w:rPr>
              <w:t>Гүйцэтгэх</w:t>
            </w:r>
            <w:r>
              <w:rPr>
                <w:rFonts w:hint="default" w:ascii="Times New Roman" w:hAnsi="Times New Roman" w:eastAsia="Calibri" w:cs="Times New Roman"/>
                <w:b w:val="0"/>
                <w:bCs w:val="0"/>
                <w:i/>
                <w:iCs/>
                <w:color w:val="000000"/>
                <w:lang w:val="mn-MN"/>
              </w:rPr>
              <w:t xml:space="preserve"> захирал А.Даваажав, </w:t>
            </w:r>
          </w:p>
          <w:p>
            <w:pPr>
              <w:spacing w:after="0" w:line="240" w:lineRule="auto"/>
              <w:ind w:left="360"/>
              <w:contextualSpacing/>
              <w:rPr>
                <w:rFonts w:hint="default" w:ascii="Times New Roman" w:hAnsi="Times New Roman" w:eastAsia="Calibri" w:cs="Times New Roman"/>
                <w:b w:val="0"/>
                <w:bCs w:val="0"/>
                <w:i/>
                <w:iCs/>
                <w:color w:val="000000"/>
                <w:lang w:val="mn-MN"/>
              </w:rPr>
            </w:pPr>
            <w:r>
              <w:rPr>
                <w:rFonts w:hint="default" w:ascii="Times New Roman" w:hAnsi="Times New Roman" w:eastAsia="Calibri" w:cs="Times New Roman"/>
                <w:b w:val="0"/>
                <w:bCs w:val="0"/>
                <w:i/>
                <w:iCs/>
                <w:color w:val="000000"/>
                <w:lang w:val="mn-MN"/>
              </w:rPr>
              <w:t>ТУЗ-ийн дарга Р.Бадрах,</w:t>
            </w:r>
          </w:p>
          <w:p>
            <w:pPr>
              <w:spacing w:after="0" w:line="240" w:lineRule="auto"/>
              <w:ind w:left="360"/>
              <w:contextualSpacing/>
              <w:rPr>
                <w:rFonts w:hint="default" w:ascii="Times New Roman" w:hAnsi="Times New Roman" w:eastAsia="Calibri" w:cs="Times New Roman"/>
                <w:b w:val="0"/>
                <w:bCs w:val="0"/>
                <w:i/>
                <w:iCs/>
                <w:color w:val="000000"/>
                <w:lang w:val="mn-MN"/>
              </w:rPr>
            </w:pPr>
            <w:r>
              <w:rPr>
                <w:rFonts w:hint="default" w:ascii="Times New Roman" w:hAnsi="Times New Roman" w:eastAsia="Calibri" w:cs="Times New Roman"/>
                <w:b w:val="0"/>
                <w:bCs w:val="0"/>
                <w:i/>
                <w:iCs/>
                <w:color w:val="000000"/>
                <w:lang w:val="mn-MN"/>
              </w:rPr>
              <w:t>гишүүд Б.Наранзаяа,А.Даваажав,Б.Мянганбаяр,Б.Баярцэнгэл,Ө.Алдарбаяр,</w:t>
            </w:r>
          </w:p>
          <w:p>
            <w:pPr>
              <w:spacing w:after="0" w:line="240" w:lineRule="auto"/>
              <w:ind w:left="360"/>
              <w:contextualSpacing/>
              <w:rPr>
                <w:rFonts w:hint="default" w:ascii="Times New Roman" w:hAnsi="Times New Roman" w:eastAsia="Calibri" w:cs="Times New Roman"/>
                <w:b w:val="0"/>
                <w:bCs w:val="0"/>
                <w:i/>
                <w:iCs/>
                <w:color w:val="000000"/>
                <w:lang w:val="mn-MN"/>
              </w:rPr>
            </w:pPr>
            <w:r>
              <w:rPr>
                <w:rFonts w:hint="default" w:ascii="Times New Roman" w:hAnsi="Times New Roman" w:eastAsia="Calibri" w:cs="Times New Roman"/>
                <w:b w:val="0"/>
                <w:bCs w:val="0"/>
                <w:i/>
                <w:iCs/>
                <w:color w:val="000000"/>
                <w:lang w:val="mn-MN"/>
              </w:rPr>
              <w:t xml:space="preserve"> хараат бус гишүүн Ё.Амарбат,Л.Тэмүүжин,Д.Энхболд</w:t>
            </w:r>
          </w:p>
          <w:p>
            <w:pPr>
              <w:spacing w:after="0" w:line="240" w:lineRule="auto"/>
              <w:ind w:left="360"/>
              <w:contextualSpacing/>
              <w:rPr>
                <w:rFonts w:hint="default" w:ascii="Times New Roman" w:hAnsi="Times New Roman" w:eastAsia="Calibri" w:cs="Times New Roman"/>
                <w:b w:val="0"/>
                <w:bCs w:val="0"/>
                <w:i/>
                <w:iCs/>
                <w:color w:val="000000"/>
                <w:lang w:val="mn-MN"/>
              </w:rPr>
            </w:pPr>
          </w:p>
          <w:p>
            <w:pPr>
              <w:widowControl w:val="0"/>
              <w:numPr>
                <w:ilvl w:val="0"/>
                <w:numId w:val="1"/>
              </w:numPr>
              <w:spacing w:after="0" w:line="240" w:lineRule="auto"/>
              <w:outlineLvl w:val="1"/>
              <w:rPr>
                <w:rFonts w:ascii="Times New Roman" w:hAnsi="Times New Roman" w:eastAsia="Times New Roman" w:cs="Times New Roman"/>
                <w:b/>
                <w:bCs/>
                <w:i/>
                <w:iCs/>
                <w:color w:val="000000"/>
                <w:lang w:val="mn-MN"/>
              </w:rPr>
            </w:pPr>
            <w:r>
              <w:rPr>
                <w:rFonts w:ascii="Times New Roman" w:hAnsi="Times New Roman" w:eastAsia="Times New Roman" w:cs="Times New Roman"/>
                <w:b/>
                <w:bCs/>
                <w:i/>
                <w:iCs/>
                <w:color w:val="000000"/>
              </w:rPr>
              <w:t>Cанхүүгийн байдлын талаарх мэдээлэл</w:t>
            </w:r>
            <w:r>
              <w:rPr>
                <w:rFonts w:ascii="Times New Roman" w:hAnsi="Times New Roman" w:eastAsia="Times New Roman" w:cs="Times New Roman"/>
                <w:b/>
                <w:bCs/>
                <w:i/>
                <w:iCs/>
                <w:color w:val="000000"/>
                <w:lang w:val="mn-MN"/>
              </w:rPr>
              <w:t xml:space="preserve"> </w:t>
            </w:r>
          </w:p>
          <w:p>
            <w:pPr>
              <w:spacing w:after="0" w:line="360" w:lineRule="auto"/>
              <w:ind w:firstLine="720"/>
              <w:rPr>
                <w:rFonts w:ascii="Times New Roman" w:hAnsi="Times New Roman" w:cs="Times New Roman"/>
                <w:b/>
                <w:bCs/>
                <w:sz w:val="24"/>
                <w:szCs w:val="24"/>
                <w:lang w:val="mn-MN"/>
              </w:rPr>
            </w:pPr>
            <w:r>
              <w:rPr>
                <w:rFonts w:ascii="Times New Roman" w:hAnsi="Times New Roman" w:cs="Times New Roman"/>
                <w:b/>
                <w:bCs/>
                <w:sz w:val="24"/>
                <w:szCs w:val="24"/>
              </w:rPr>
              <w:t>Компанийн 201</w:t>
            </w:r>
            <w:r>
              <w:rPr>
                <w:rFonts w:ascii="Times New Roman" w:hAnsi="Times New Roman" w:cs="Times New Roman"/>
                <w:b/>
                <w:bCs/>
                <w:sz w:val="24"/>
                <w:szCs w:val="24"/>
                <w:lang w:val="mn-MN"/>
              </w:rPr>
              <w:t>9</w:t>
            </w:r>
            <w:r>
              <w:rPr>
                <w:rFonts w:ascii="Times New Roman" w:hAnsi="Times New Roman" w:cs="Times New Roman"/>
                <w:b/>
                <w:bCs/>
                <w:sz w:val="24"/>
                <w:szCs w:val="24"/>
              </w:rPr>
              <w:t xml:space="preserve"> оны орлого үр дүнгийн тайлан, баланс</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mn-MN"/>
              </w:rPr>
              <w:t xml:space="preserve"> </w:t>
            </w:r>
            <w:r>
              <w:rPr>
                <w:rFonts w:ascii="Times New Roman" w:hAnsi="Times New Roman" w:cs="Times New Roman"/>
                <w:sz w:val="24"/>
                <w:szCs w:val="24"/>
                <w:lang w:val="mn-MN"/>
              </w:rPr>
              <w:tab/>
            </w:r>
            <w:r>
              <w:rPr>
                <w:rFonts w:ascii="Times New Roman" w:hAnsi="Times New Roman" w:cs="Times New Roman"/>
                <w:sz w:val="24"/>
                <w:szCs w:val="24"/>
              </w:rPr>
              <w:t xml:space="preserve">2019 оны байдлаар </w:t>
            </w:r>
            <w:r>
              <w:rPr>
                <w:rFonts w:ascii="Times New Roman" w:hAnsi="Times New Roman" w:cs="Times New Roman"/>
                <w:sz w:val="24"/>
                <w:szCs w:val="24"/>
                <w:lang w:val="mn-MN"/>
              </w:rPr>
              <w:t>5</w:t>
            </w:r>
            <w:r>
              <w:rPr>
                <w:rFonts w:ascii="Times New Roman" w:hAnsi="Times New Roman" w:cs="Times New Roman"/>
                <w:sz w:val="24"/>
                <w:szCs w:val="24"/>
              </w:rPr>
              <w:t xml:space="preserve">8,157.09 тн нүүрс </w:t>
            </w:r>
            <w:r>
              <w:rPr>
                <w:rFonts w:ascii="Times New Roman" w:hAnsi="Times New Roman" w:cs="Times New Roman"/>
                <w:sz w:val="24"/>
                <w:szCs w:val="24"/>
                <w:lang w:val="mn-MN"/>
              </w:rPr>
              <w:t xml:space="preserve">олборлон </w:t>
            </w:r>
            <w:r>
              <w:rPr>
                <w:rFonts w:ascii="Times New Roman" w:hAnsi="Times New Roman" w:cs="Times New Roman"/>
                <w:sz w:val="24"/>
                <w:szCs w:val="24"/>
              </w:rPr>
              <w:t xml:space="preserve">борлуулж </w:t>
            </w:r>
            <w:r>
              <w:rPr>
                <w:rFonts w:ascii="Times New Roman" w:hAnsi="Times New Roman" w:cs="Times New Roman"/>
                <w:sz w:val="24"/>
                <w:szCs w:val="24"/>
                <w:lang w:val="mn-MN"/>
              </w:rPr>
              <w:t>1,355</w:t>
            </w:r>
            <w:r>
              <w:rPr>
                <w:rFonts w:ascii="Times New Roman" w:hAnsi="Times New Roman" w:cs="Times New Roman"/>
                <w:sz w:val="24"/>
                <w:szCs w:val="24"/>
              </w:rPr>
              <w:t>,18</w:t>
            </w:r>
            <w:r>
              <w:rPr>
                <w:rFonts w:ascii="Times New Roman" w:hAnsi="Times New Roman" w:cs="Times New Roman"/>
                <w:sz w:val="24"/>
                <w:szCs w:val="24"/>
                <w:lang w:val="mn-MN"/>
              </w:rPr>
              <w:t xml:space="preserve"> </w:t>
            </w:r>
            <w:r>
              <w:rPr>
                <w:rFonts w:ascii="Times New Roman" w:hAnsi="Times New Roman" w:cs="Times New Roman"/>
                <w:sz w:val="24"/>
                <w:szCs w:val="24"/>
              </w:rPr>
              <w:t>сая төгрөг</w:t>
            </w:r>
            <w:r>
              <w:rPr>
                <w:rFonts w:ascii="Times New Roman" w:hAnsi="Times New Roman" w:cs="Times New Roman"/>
                <w:sz w:val="24"/>
                <w:szCs w:val="24"/>
                <w:lang w:val="mn-MN"/>
              </w:rPr>
              <w:t>, нүүрс</w:t>
            </w:r>
            <w:r>
              <w:rPr>
                <w:rFonts w:ascii="Times New Roman" w:hAnsi="Times New Roman" w:cs="Times New Roman"/>
                <w:sz w:val="24"/>
                <w:szCs w:val="24"/>
              </w:rPr>
              <w:t xml:space="preserve"> </w:t>
            </w:r>
            <w:r>
              <w:rPr>
                <w:rFonts w:ascii="Times New Roman" w:hAnsi="Times New Roman" w:cs="Times New Roman"/>
                <w:sz w:val="24"/>
                <w:szCs w:val="24"/>
                <w:lang w:val="mn-MN"/>
              </w:rPr>
              <w:t>тээврийн</w:t>
            </w:r>
            <w:r>
              <w:rPr>
                <w:rFonts w:ascii="Times New Roman" w:hAnsi="Times New Roman" w:cs="Times New Roman"/>
                <w:sz w:val="24"/>
                <w:szCs w:val="24"/>
              </w:rPr>
              <w:t xml:space="preserve"> орлого</w:t>
            </w:r>
            <w:r>
              <w:rPr>
                <w:rFonts w:ascii="Times New Roman" w:hAnsi="Times New Roman" w:cs="Times New Roman"/>
                <w:sz w:val="24"/>
                <w:szCs w:val="24"/>
                <w:lang w:val="mn-MN"/>
              </w:rPr>
              <w:t xml:space="preserve"> нь 4,8 сая төгрөг</w:t>
            </w:r>
            <w:r>
              <w:rPr>
                <w:rFonts w:ascii="Times New Roman" w:hAnsi="Times New Roman" w:cs="Times New Roman"/>
                <w:sz w:val="24"/>
                <w:szCs w:val="24"/>
              </w:rPr>
              <w:t>,</w:t>
            </w:r>
            <w:r>
              <w:rPr>
                <w:rFonts w:ascii="Times New Roman" w:hAnsi="Times New Roman" w:cs="Times New Roman"/>
                <w:sz w:val="24"/>
                <w:szCs w:val="24"/>
                <w:lang w:val="mn-MN"/>
              </w:rPr>
              <w:t xml:space="preserve"> түрээсийн орлого 4,1 сая</w:t>
            </w:r>
            <w:r>
              <w:rPr>
                <w:rFonts w:ascii="Times New Roman" w:hAnsi="Times New Roman" w:cs="Times New Roman"/>
                <w:sz w:val="24"/>
                <w:szCs w:val="24"/>
              </w:rPr>
              <w:t xml:space="preserve"> </w:t>
            </w:r>
            <w:r>
              <w:rPr>
                <w:rFonts w:ascii="Times New Roman" w:hAnsi="Times New Roman" w:cs="Times New Roman"/>
                <w:sz w:val="24"/>
                <w:szCs w:val="24"/>
                <w:lang w:val="mn-MN"/>
              </w:rPr>
              <w:t xml:space="preserve">төгрөг,  жоншны агуулагатай шороо борлуулсаны орлого 283,2 сая төгрөг, үл хөдлөх хөрөнгө борлуулсаны олз 5,03 сая төгрөг, харилцах дансанд бодогдсон хүүгийн орлого 0,61 сая тус тус олсон байна. Нүүрс борлуулахад гарсан </w:t>
            </w:r>
            <w:r>
              <w:rPr>
                <w:rFonts w:ascii="Times New Roman" w:hAnsi="Times New Roman" w:cs="Times New Roman"/>
                <w:sz w:val="24"/>
                <w:szCs w:val="24"/>
              </w:rPr>
              <w:t xml:space="preserve">ББӨ </w:t>
            </w:r>
            <w:r>
              <w:rPr>
                <w:rFonts w:ascii="Times New Roman" w:hAnsi="Times New Roman" w:cs="Times New Roman"/>
                <w:sz w:val="24"/>
                <w:szCs w:val="24"/>
                <w:lang w:val="mn-MN"/>
              </w:rPr>
              <w:t>889</w:t>
            </w:r>
            <w:r>
              <w:rPr>
                <w:rFonts w:ascii="Times New Roman" w:hAnsi="Times New Roman" w:cs="Times New Roman"/>
                <w:sz w:val="24"/>
                <w:szCs w:val="24"/>
              </w:rPr>
              <w:t>,</w:t>
            </w:r>
            <w:r>
              <w:rPr>
                <w:rFonts w:ascii="Times New Roman" w:hAnsi="Times New Roman" w:cs="Times New Roman"/>
                <w:sz w:val="24"/>
                <w:szCs w:val="24"/>
                <w:lang w:val="mn-MN"/>
              </w:rPr>
              <w:t>51</w:t>
            </w:r>
            <w:r>
              <w:rPr>
                <w:rFonts w:ascii="Times New Roman" w:hAnsi="Times New Roman" w:cs="Times New Roman"/>
                <w:sz w:val="24"/>
                <w:szCs w:val="24"/>
              </w:rPr>
              <w:t xml:space="preserve"> сая төгрөг, үйл ажиллагааны зардалд </w:t>
            </w:r>
            <w:r>
              <w:rPr>
                <w:rFonts w:ascii="Times New Roman" w:hAnsi="Times New Roman" w:cs="Times New Roman"/>
                <w:sz w:val="24"/>
                <w:szCs w:val="24"/>
                <w:lang w:val="mn-MN"/>
              </w:rPr>
              <w:t xml:space="preserve">576,02 </w:t>
            </w:r>
            <w:r>
              <w:rPr>
                <w:rFonts w:ascii="Times New Roman" w:hAnsi="Times New Roman" w:cs="Times New Roman"/>
                <w:sz w:val="24"/>
                <w:szCs w:val="24"/>
              </w:rPr>
              <w:t xml:space="preserve">сая төгрөг, </w:t>
            </w:r>
            <w:r>
              <w:rPr>
                <w:rFonts w:ascii="Times New Roman" w:hAnsi="Times New Roman" w:cs="Times New Roman"/>
                <w:sz w:val="24"/>
                <w:szCs w:val="24"/>
                <w:lang w:val="mn-MN"/>
              </w:rPr>
              <w:t xml:space="preserve">санхүүгийн зардал буюу зээлийн хүүгийн зардал 1,948.46 сая төгрөг, валютын </w:t>
            </w:r>
            <w:r>
              <w:rPr>
                <w:rFonts w:ascii="Times New Roman" w:hAnsi="Times New Roman" w:cs="Times New Roman"/>
                <w:sz w:val="24"/>
                <w:szCs w:val="24"/>
              </w:rPr>
              <w:t>ханшийн зөрүүний а</w:t>
            </w:r>
            <w:r>
              <w:rPr>
                <w:rFonts w:ascii="Times New Roman" w:hAnsi="Times New Roman" w:cs="Times New Roman"/>
                <w:sz w:val="24"/>
                <w:szCs w:val="24"/>
                <w:lang w:val="mn-MN"/>
              </w:rPr>
              <w:t xml:space="preserve">лдагдал </w:t>
            </w:r>
            <w:r>
              <w:rPr>
                <w:rFonts w:ascii="Times New Roman" w:hAnsi="Times New Roman" w:cs="Times New Roman"/>
                <w:sz w:val="24"/>
                <w:szCs w:val="24"/>
              </w:rPr>
              <w:t>(</w:t>
            </w:r>
            <w:r>
              <w:rPr>
                <w:rFonts w:ascii="Times New Roman" w:hAnsi="Times New Roman" w:cs="Times New Roman"/>
                <w:sz w:val="24"/>
                <w:szCs w:val="24"/>
                <w:lang w:val="mn-MN"/>
              </w:rPr>
              <w:t>968</w:t>
            </w:r>
            <w:r>
              <w:rPr>
                <w:rFonts w:ascii="Times New Roman" w:hAnsi="Times New Roman" w:cs="Times New Roman"/>
                <w:sz w:val="24"/>
                <w:szCs w:val="24"/>
              </w:rPr>
              <w:t>.</w:t>
            </w:r>
            <w:r>
              <w:rPr>
                <w:rFonts w:ascii="Times New Roman" w:hAnsi="Times New Roman" w:cs="Times New Roman"/>
                <w:sz w:val="24"/>
                <w:szCs w:val="24"/>
                <w:lang w:val="mn-MN"/>
              </w:rPr>
              <w:t>4</w:t>
            </w:r>
            <w:r>
              <w:rPr>
                <w:rFonts w:ascii="Times New Roman" w:hAnsi="Times New Roman" w:cs="Times New Roman"/>
                <w:sz w:val="24"/>
                <w:szCs w:val="24"/>
              </w:rPr>
              <w:t>) сая төгрөг болж, нийт энэ онд (</w:t>
            </w:r>
            <w:r>
              <w:rPr>
                <w:rFonts w:ascii="Times New Roman" w:hAnsi="Times New Roman" w:cs="Times New Roman"/>
                <w:sz w:val="24"/>
                <w:szCs w:val="24"/>
                <w:lang w:val="mn-MN"/>
              </w:rPr>
              <w:t>2,763</w:t>
            </w:r>
            <w:r>
              <w:rPr>
                <w:rFonts w:ascii="Times New Roman" w:hAnsi="Times New Roman" w:cs="Times New Roman"/>
                <w:sz w:val="24"/>
                <w:szCs w:val="24"/>
              </w:rPr>
              <w:t>.</w:t>
            </w:r>
            <w:r>
              <w:rPr>
                <w:rFonts w:ascii="Times New Roman" w:hAnsi="Times New Roman" w:cs="Times New Roman"/>
                <w:sz w:val="24"/>
                <w:szCs w:val="24"/>
                <w:lang w:val="mn-MN"/>
              </w:rPr>
              <w:t>35</w:t>
            </w:r>
            <w:r>
              <w:rPr>
                <w:rFonts w:ascii="Times New Roman" w:hAnsi="Times New Roman" w:cs="Times New Roman"/>
                <w:sz w:val="24"/>
                <w:szCs w:val="24"/>
              </w:rPr>
              <w:t xml:space="preserve">) төгрөгийн алдагдалтай ажилласан. </w:t>
            </w:r>
          </w:p>
          <w:p>
            <w:pPr>
              <w:spacing w:after="0" w:line="360" w:lineRule="auto"/>
              <w:ind w:left="720" w:firstLine="720"/>
              <w:jc w:val="both"/>
              <w:rPr>
                <w:rFonts w:ascii="Times New Roman" w:hAnsi="Times New Roman" w:cs="Times New Roman"/>
                <w:sz w:val="24"/>
                <w:szCs w:val="24"/>
                <w:lang w:val="mn-MN"/>
              </w:rPr>
            </w:pPr>
            <w:r>
              <w:rPr>
                <w:rFonts w:ascii="Times New Roman" w:hAnsi="Times New Roman" w:cs="Times New Roman"/>
                <w:sz w:val="24"/>
                <w:szCs w:val="24"/>
                <w:lang w:val="mn-MN"/>
              </w:rPr>
              <w:t>Хүснэгт-1 Орлого үр дүнгийн тайлан</w:t>
            </w:r>
          </w:p>
          <w:tbl>
            <w:tblPr>
              <w:tblStyle w:val="3"/>
              <w:tblW w:w="8560" w:type="dxa"/>
              <w:jc w:val="center"/>
              <w:tblLayout w:type="autofit"/>
              <w:tblCellMar>
                <w:top w:w="0" w:type="dxa"/>
                <w:left w:w="108" w:type="dxa"/>
                <w:bottom w:w="0" w:type="dxa"/>
                <w:right w:w="108" w:type="dxa"/>
              </w:tblCellMar>
            </w:tblPr>
            <w:tblGrid>
              <w:gridCol w:w="4660"/>
              <w:gridCol w:w="1300"/>
              <w:gridCol w:w="1300"/>
              <w:gridCol w:w="1300"/>
            </w:tblGrid>
            <w:tr>
              <w:tblPrEx>
                <w:tblCellMar>
                  <w:top w:w="0" w:type="dxa"/>
                  <w:left w:w="108" w:type="dxa"/>
                  <w:bottom w:w="0" w:type="dxa"/>
                  <w:right w:w="108" w:type="dxa"/>
                </w:tblCellMar>
              </w:tblPrEx>
              <w:trPr>
                <w:trHeight w:val="435" w:hRule="atLeast"/>
                <w:jc w:val="center"/>
              </w:trPr>
              <w:tc>
                <w:tcPr>
                  <w:tcW w:w="46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Орлого үр дүнгийн тайлан</w:t>
                  </w:r>
                </w:p>
              </w:tc>
              <w:tc>
                <w:tcPr>
                  <w:tcW w:w="13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Хэмжих нэгж</w:t>
                  </w:r>
                </w:p>
              </w:tc>
              <w:tc>
                <w:tcPr>
                  <w:tcW w:w="13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2018 он</w:t>
                  </w:r>
                </w:p>
              </w:tc>
              <w:tc>
                <w:tcPr>
                  <w:tcW w:w="130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2019 он</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Борлуулалт</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1,149.02</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1,355.18</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ББӨ</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932.00</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889.51</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Нийт ашиг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217.02</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465.67</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Бусад орлого</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95.30</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297.90</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Ерөнхий удирдлагын зардал</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543.83</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576.02</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Санхүүгийн зардал</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2,123.34</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1,948.46</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Үндсэн үйл ажиллагааны ашиг (алдагдал)</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(2,354.85)</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(1,760.91)</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Үйл ажиллагааны бус ашиг (алдагдал)</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(20.61)</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(33.98)</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Валютын ханшийн зөрүүний ашиг  (алдагдал)</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(2,143.60)</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(968.40)</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Татвар төлөхийн өмнөх ашиг  (алдагдал)</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(4,519.06)</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(2,763.29)</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Орлогын татварын зардал</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0.04</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0.06</w:t>
                  </w:r>
                </w:p>
              </w:tc>
            </w:tr>
            <w:tr>
              <w:tblPrEx>
                <w:tblCellMar>
                  <w:top w:w="0" w:type="dxa"/>
                  <w:left w:w="108" w:type="dxa"/>
                  <w:bottom w:w="0" w:type="dxa"/>
                  <w:right w:w="108" w:type="dxa"/>
                </w:tblCellMar>
              </w:tblPrEx>
              <w:trPr>
                <w:trHeight w:val="360" w:hRule="atLeast"/>
                <w:jc w:val="center"/>
              </w:trPr>
              <w:tc>
                <w:tcPr>
                  <w:tcW w:w="4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Татварын дараах ашиг (алдагдал)</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 төг</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(4,519.10)</w:t>
                  </w:r>
                </w:p>
              </w:tc>
              <w:tc>
                <w:tcPr>
                  <w:tcW w:w="13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(2,763.35)</w:t>
                  </w:r>
                </w:p>
              </w:tc>
            </w:tr>
          </w:tbl>
          <w:p>
            <w:pPr>
              <w:spacing w:after="0" w:line="360" w:lineRule="auto"/>
              <w:jc w:val="right"/>
              <w:rPr>
                <w:rFonts w:ascii="Times New Roman" w:hAnsi="Times New Roman" w:cs="Times New Roman"/>
                <w:sz w:val="24"/>
                <w:szCs w:val="24"/>
                <w:lang w:val="mn-MN"/>
              </w:rPr>
            </w:pPr>
          </w:p>
          <w:p>
            <w:pPr>
              <w:tabs>
                <w:tab w:val="left" w:pos="1037"/>
              </w:tabs>
              <w:spacing w:after="0" w:line="360" w:lineRule="auto"/>
              <w:rPr>
                <w:rFonts w:ascii="Times New Roman" w:hAnsi="Times New Roman" w:cs="Times New Roman"/>
                <w:sz w:val="24"/>
                <w:szCs w:val="24"/>
                <w:lang w:val="mn-MN"/>
              </w:rPr>
            </w:pPr>
            <w:r>
              <w:rPr>
                <w:rFonts w:ascii="Times New Roman" w:hAnsi="Times New Roman" w:cs="Times New Roman"/>
                <w:sz w:val="24"/>
                <w:szCs w:val="24"/>
                <w:lang w:val="mn-MN"/>
              </w:rPr>
              <w:tab/>
            </w:r>
            <w:r>
              <w:rPr>
                <w:rFonts w:ascii="Times New Roman" w:hAnsi="Times New Roman" w:cs="Times New Roman"/>
                <w:sz w:val="24"/>
                <w:szCs w:val="24"/>
                <w:lang w:val="mn-MN"/>
              </w:rPr>
              <w:t>Хүснэгт-2  Хураангуй баланс</w:t>
            </w:r>
          </w:p>
          <w:tbl>
            <w:tblPr>
              <w:tblStyle w:val="3"/>
              <w:tblW w:w="8480" w:type="dxa"/>
              <w:jc w:val="center"/>
              <w:tblLayout w:type="autofit"/>
              <w:tblCellMar>
                <w:top w:w="0" w:type="dxa"/>
                <w:left w:w="108" w:type="dxa"/>
                <w:bottom w:w="0" w:type="dxa"/>
                <w:right w:w="108" w:type="dxa"/>
              </w:tblCellMar>
            </w:tblPr>
            <w:tblGrid>
              <w:gridCol w:w="740"/>
              <w:gridCol w:w="4780"/>
              <w:gridCol w:w="1480"/>
              <w:gridCol w:w="1480"/>
            </w:tblGrid>
            <w:tr>
              <w:trPr>
                <w:trHeight w:val="615"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c>
                <w:tcPr>
                  <w:tcW w:w="47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Хураангуй баланс</w:t>
                  </w:r>
                </w:p>
              </w:tc>
              <w:tc>
                <w:tcPr>
                  <w:tcW w:w="14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2018.12.31</w:t>
                  </w:r>
                </w:p>
              </w:tc>
              <w:tc>
                <w:tcPr>
                  <w:tcW w:w="14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2019.12.31</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b/>
                      <w:bCs/>
                      <w:i/>
                      <w:iCs/>
                      <w:color w:val="000000"/>
                      <w:sz w:val="20"/>
                      <w:szCs w:val="20"/>
                    </w:rPr>
                  </w:pPr>
                  <w:r>
                    <w:rPr>
                      <w:rFonts w:ascii="Times New Roman" w:hAnsi="Times New Roman" w:eastAsia="Times New Roman" w:cs="Times New Roman"/>
                      <w:b/>
                      <w:bCs/>
                      <w:i/>
                      <w:iCs/>
                      <w:color w:val="000000"/>
                      <w:sz w:val="20"/>
                      <w:szCs w:val="20"/>
                    </w:rPr>
                    <w:t>ХӨРӨНГӨ:</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Эргэлтийн хөрөнгө</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140.12</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254.25</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Эргэлтийн бус хөрөнгө</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14,006.95</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13,981.04</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b/>
                      <w:bCs/>
                      <w:i/>
                      <w:iCs/>
                      <w:color w:val="000000"/>
                      <w:sz w:val="20"/>
                      <w:szCs w:val="20"/>
                    </w:rPr>
                  </w:pPr>
                  <w:r>
                    <w:rPr>
                      <w:rFonts w:ascii="Times New Roman" w:hAnsi="Times New Roman" w:eastAsia="Times New Roman" w:cs="Times New Roman"/>
                      <w:b/>
                      <w:bCs/>
                      <w:i/>
                      <w:iCs/>
                      <w:color w:val="000000"/>
                      <w:sz w:val="20"/>
                      <w:szCs w:val="20"/>
                    </w:rPr>
                    <w:t>НИЙТ ХӨРӨНГИЙН ДҮН</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14,147.07</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14,235.29</w:t>
                  </w:r>
                </w:p>
              </w:tc>
            </w:tr>
            <w:tr>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ӨР ТӨЛБӨР:</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Calibri" w:hAnsi="Calibri" w:eastAsia="Times New Roman" w:cs="Calibri"/>
                    </w:rPr>
                  </w:pP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Calibri" w:hAnsi="Calibri" w:eastAsia="Times New Roman" w:cs="Calibri"/>
                    </w:rPr>
                  </w:pPr>
                </w:p>
              </w:tc>
            </w:tr>
            <w:tr>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Богино хугацаат өр төлбөр</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14,720.58</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16,839.12</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Урт хугацаат өр төлбөр</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29,615.30</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30,348.79</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b/>
                      <w:bCs/>
                      <w:i/>
                      <w:iCs/>
                      <w:color w:val="000000"/>
                      <w:sz w:val="20"/>
                      <w:szCs w:val="20"/>
                    </w:rPr>
                  </w:pPr>
                  <w:r>
                    <w:rPr>
                      <w:rFonts w:ascii="Times New Roman" w:hAnsi="Times New Roman" w:eastAsia="Times New Roman" w:cs="Times New Roman"/>
                      <w:b/>
                      <w:bCs/>
                      <w:i/>
                      <w:iCs/>
                      <w:color w:val="000000"/>
                      <w:sz w:val="20"/>
                      <w:szCs w:val="20"/>
                    </w:rPr>
                    <w:t>ӨР ТӨЛБӨРИЙН НИЙТ ДҮН:</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44,335.88</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47,187.91</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ЭЗДИЙН ӨМЧ</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Calibri" w:hAnsi="Calibri" w:eastAsia="Times New Roman" w:cs="Calibri"/>
                    </w:rPr>
                  </w:pP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Calibri" w:hAnsi="Calibri" w:eastAsia="Times New Roman" w:cs="Calibri"/>
                    </w:rPr>
                  </w:pPr>
                </w:p>
              </w:tc>
            </w:tr>
            <w:tr>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Хувийн өмч</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1,906.21</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1,906.21</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Дахин үнэлгээний нэмэгдэл</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Calibri" w:hAnsi="Calibri" w:eastAsia="Times New Roman" w:cs="Calibri"/>
                    </w:rPr>
                  </w:pPr>
                  <w:r>
                    <w:rPr>
                      <w:rFonts w:ascii="Calibri" w:hAnsi="Calibri" w:eastAsia="Times New Roman" w:cs="Calibri"/>
                    </w:rPr>
                    <w:t>1990.69</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1,990.69</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Хуримтлагдсан ашиг</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-34,085.70</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-36,849.51</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13</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b/>
                      <w:bCs/>
                      <w:i/>
                      <w:iCs/>
                      <w:color w:val="000000"/>
                      <w:sz w:val="20"/>
                      <w:szCs w:val="20"/>
                    </w:rPr>
                  </w:pPr>
                  <w:r>
                    <w:rPr>
                      <w:rFonts w:ascii="Times New Roman" w:hAnsi="Times New Roman" w:eastAsia="Times New Roman" w:cs="Times New Roman"/>
                      <w:b/>
                      <w:bCs/>
                      <w:i/>
                      <w:iCs/>
                      <w:color w:val="000000"/>
                      <w:sz w:val="20"/>
                      <w:szCs w:val="20"/>
                    </w:rPr>
                    <w:t>ЭЗДИЙН ӨМЧИЙН НИЙТ ДҮН</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(30,188.81)</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(32,952.62)</w:t>
                  </w:r>
                </w:p>
              </w:tc>
            </w:tr>
            <w:tr>
              <w:tblPrEx>
                <w:tblCellMar>
                  <w:top w:w="0" w:type="dxa"/>
                  <w:left w:w="108" w:type="dxa"/>
                  <w:bottom w:w="0" w:type="dxa"/>
                  <w:right w:w="108" w:type="dxa"/>
                </w:tblCellMar>
              </w:tblPrEx>
              <w:trPr>
                <w:trHeight w:val="405" w:hRule="atLeast"/>
                <w:jc w:val="center"/>
              </w:trPr>
              <w:tc>
                <w:tcPr>
                  <w:tcW w:w="7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w:t>
                  </w:r>
                </w:p>
              </w:tc>
              <w:tc>
                <w:tcPr>
                  <w:tcW w:w="478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НИЙТ ӨР ТӨЛБӨР БА ЭЗДИЙН ӨМЧИЙН ДҮН</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14,147.07</w:t>
                  </w:r>
                </w:p>
              </w:tc>
              <w:tc>
                <w:tcPr>
                  <w:tcW w:w="1480" w:type="dxa"/>
                  <w:tcBorders>
                    <w:top w:val="nil"/>
                    <w:left w:val="nil"/>
                    <w:bottom w:val="single" w:color="auto" w:sz="4" w:space="0"/>
                    <w:right w:val="single" w:color="auto" w:sz="4" w:space="0"/>
                  </w:tcBorders>
                  <w:shd w:val="clear" w:color="auto" w:fill="auto"/>
                  <w:vAlign w:val="center"/>
                </w:tcPr>
                <w:p>
                  <w:pPr>
                    <w:spacing w:after="0" w:line="240" w:lineRule="auto"/>
                    <w:jc w:val="right"/>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14,235.29</w:t>
                  </w:r>
                </w:p>
              </w:tc>
            </w:tr>
          </w:tbl>
          <w:p>
            <w:pPr>
              <w:spacing w:after="0" w:line="240" w:lineRule="auto"/>
              <w:rPr>
                <w:rFonts w:ascii="Times New Roman" w:hAnsi="Times New Roman" w:eastAsia="Calibri" w:cs="Times New Roman"/>
                <w:lang w:val="mn-MN"/>
              </w:rPr>
            </w:pPr>
          </w:p>
          <w:p>
            <w:pPr>
              <w:spacing w:after="0" w:line="240" w:lineRule="auto"/>
              <w:rPr>
                <w:rFonts w:ascii="Times New Roman" w:hAnsi="Times New Roman" w:eastAsia="Calibri" w:cs="Times New Roman"/>
                <w:lang w:val="mn-MN"/>
              </w:rPr>
            </w:pPr>
          </w:p>
          <w:p>
            <w:pPr>
              <w:spacing w:after="0" w:line="240" w:lineRule="auto"/>
              <w:rPr>
                <w:rFonts w:ascii="Times New Roman" w:hAnsi="Times New Roman" w:eastAsia="Calibri" w:cs="Times New Roman"/>
                <w:lang w:val="mn-MN"/>
              </w:rPr>
            </w:pPr>
          </w:p>
          <w:p>
            <w:pPr>
              <w:numPr>
                <w:ilvl w:val="0"/>
                <w:numId w:val="1"/>
              </w:numPr>
              <w:spacing w:after="0" w:line="240" w:lineRule="auto"/>
              <w:contextualSpacing/>
              <w:rPr>
                <w:rFonts w:ascii="Times New Roman" w:hAnsi="Times New Roman" w:eastAsia="Calibri" w:cs="Times New Roman"/>
                <w:b/>
                <w:bCs/>
                <w:color w:val="000000"/>
              </w:rPr>
            </w:pPr>
            <w:r>
              <w:rPr>
                <w:rFonts w:ascii="Times New Roman" w:hAnsi="Times New Roman" w:eastAsia="Calibri" w:cs="Times New Roman"/>
                <w:b/>
                <w:bCs/>
                <w:i/>
                <w:color w:val="000000"/>
                <w:lang w:val="mn-MN"/>
              </w:rPr>
              <w:t xml:space="preserve"> </w:t>
            </w:r>
            <w:r>
              <w:rPr>
                <w:rFonts w:ascii="Times New Roman" w:hAnsi="Times New Roman" w:eastAsia="Calibri" w:cs="Times New Roman"/>
                <w:b/>
                <w:bCs/>
                <w:i/>
                <w:color w:val="000000"/>
              </w:rPr>
              <w:t>Хувьцаа эзэмшигчдийн талаарх мэдээлэл</w:t>
            </w:r>
            <w:r>
              <w:rPr>
                <w:rFonts w:ascii="Times New Roman" w:hAnsi="Times New Roman" w:eastAsia="Calibri" w:cs="Times New Roman"/>
                <w:b/>
                <w:bCs/>
                <w:color w:val="000000"/>
                <w:lang w:val="mn-MN"/>
              </w:rPr>
              <w:t xml:space="preserve"> </w:t>
            </w:r>
          </w:p>
          <w:p>
            <w:pPr>
              <w:spacing w:after="0" w:line="240" w:lineRule="auto"/>
              <w:ind w:left="360"/>
              <w:contextualSpacing/>
              <w:rPr>
                <w:rFonts w:ascii="Times New Roman" w:hAnsi="Times New Roman" w:eastAsia="Calibri" w:cs="Times New Roman"/>
                <w:color w:val="000000"/>
                <w:lang w:val="mn-MN"/>
              </w:rPr>
            </w:pPr>
          </w:p>
          <w:p>
            <w:pPr>
              <w:spacing w:after="0" w:line="240" w:lineRule="auto"/>
              <w:ind w:firstLine="110" w:firstLineChars="50"/>
              <w:rPr>
                <w:rFonts w:hint="default" w:ascii="Times New Roman" w:hAnsi="Times New Roman" w:eastAsia="Calibri" w:cs="Times New Roman"/>
                <w:bCs/>
                <w:color w:val="000000"/>
                <w:lang w:val="mn-MN"/>
              </w:rPr>
            </w:pPr>
            <w:r>
              <w:rPr>
                <w:rFonts w:hint="default" w:ascii="Times New Roman" w:hAnsi="Times New Roman" w:eastAsia="Calibri" w:cs="Times New Roman"/>
                <w:bCs/>
                <w:color w:val="000000"/>
                <w:lang w:val="mn-MN"/>
              </w:rPr>
              <w:t>Хувьцаа эзэмшигчийн тоо 99</w:t>
            </w:r>
          </w:p>
          <w:p>
            <w:pPr>
              <w:spacing w:after="0" w:line="240" w:lineRule="auto"/>
              <w:ind w:firstLine="110" w:firstLineChars="50"/>
              <w:rPr>
                <w:rFonts w:hint="default" w:ascii="Times New Roman" w:hAnsi="Times New Roman" w:eastAsia="Calibri" w:cs="Times New Roman"/>
                <w:bCs/>
                <w:color w:val="000000"/>
                <w:lang w:val="mn-MN"/>
              </w:rPr>
            </w:pPr>
            <w:r>
              <w:rPr>
                <w:rFonts w:ascii="Times New Roman" w:hAnsi="Times New Roman" w:eastAsia="Calibri" w:cs="Times New Roman"/>
                <w:bCs/>
                <w:color w:val="000000"/>
                <w:lang w:val="mn-MN"/>
              </w:rPr>
              <w:t>Нийт</w:t>
            </w:r>
            <w:r>
              <w:rPr>
                <w:rFonts w:hint="default" w:ascii="Times New Roman" w:hAnsi="Times New Roman" w:eastAsia="Calibri" w:cs="Times New Roman"/>
                <w:bCs/>
                <w:color w:val="000000"/>
                <w:lang w:val="mn-MN"/>
              </w:rPr>
              <w:t xml:space="preserve"> гаргасан хувьцааны тоо 19062080 ширхэг </w:t>
            </w:r>
          </w:p>
          <w:p>
            <w:pPr>
              <w:spacing w:after="0" w:line="240" w:lineRule="auto"/>
              <w:ind w:firstLine="110" w:firstLineChars="50"/>
              <w:rPr>
                <w:rFonts w:hint="default" w:ascii="Times New Roman" w:hAnsi="Times New Roman" w:eastAsia="Calibri" w:cs="Times New Roman"/>
                <w:bCs/>
                <w:color w:val="000000"/>
                <w:lang w:val="mn-MN"/>
              </w:rPr>
            </w:pPr>
            <w:r>
              <w:rPr>
                <w:rFonts w:hint="default" w:ascii="Times New Roman" w:hAnsi="Times New Roman" w:eastAsia="Calibri" w:cs="Times New Roman"/>
                <w:bCs/>
                <w:color w:val="000000"/>
                <w:lang w:val="mn-MN"/>
              </w:rPr>
              <w:t>Нөлөө бүхий хувьцаа эзэмшигч</w:t>
            </w:r>
          </w:p>
          <w:p>
            <w:pPr>
              <w:spacing w:after="0" w:line="240" w:lineRule="auto"/>
              <w:ind w:firstLine="110" w:firstLineChars="50"/>
              <w:rPr>
                <w:rFonts w:hint="default" w:ascii="Times New Roman" w:hAnsi="Times New Roman" w:eastAsia="Calibri" w:cs="Times New Roman"/>
                <w:bCs/>
                <w:color w:val="000000"/>
                <w:lang w:val="mn-MN"/>
              </w:rPr>
            </w:pPr>
            <w:r>
              <w:rPr>
                <w:rFonts w:hint="default" w:ascii="Times New Roman" w:hAnsi="Times New Roman" w:eastAsia="Calibri" w:cs="Times New Roman"/>
                <w:bCs/>
                <w:color w:val="000000"/>
                <w:lang w:val="mn-MN"/>
              </w:rPr>
              <w:t xml:space="preserve">- </w:t>
            </w:r>
            <w:r>
              <w:rPr>
                <w:rFonts w:hint="default" w:ascii="Times New Roman" w:hAnsi="Times New Roman" w:eastAsia="Calibri" w:cs="Times New Roman"/>
                <w:bCs/>
                <w:color w:val="000000"/>
                <w:lang w:val="en-US"/>
              </w:rPr>
              <w:t xml:space="preserve">Khanate resource holding-3 S.A.R.L-1254161 </w:t>
            </w:r>
            <w:r>
              <w:rPr>
                <w:rFonts w:hint="default" w:ascii="Times New Roman" w:hAnsi="Times New Roman" w:eastAsia="Calibri" w:cs="Times New Roman"/>
                <w:bCs/>
                <w:color w:val="000000"/>
                <w:lang w:val="mn-MN"/>
              </w:rPr>
              <w:t>ширхэг</w:t>
            </w:r>
          </w:p>
          <w:p>
            <w:pPr>
              <w:spacing w:after="0" w:line="240" w:lineRule="auto"/>
              <w:ind w:firstLine="110" w:firstLineChars="50"/>
              <w:rPr>
                <w:rFonts w:hint="default" w:ascii="Times New Roman" w:hAnsi="Times New Roman" w:eastAsia="Calibri" w:cs="Times New Roman"/>
                <w:bCs/>
                <w:color w:val="000000"/>
                <w:lang w:val="mn-MN"/>
              </w:rPr>
            </w:pPr>
            <w:r>
              <w:rPr>
                <w:rFonts w:hint="default" w:ascii="Times New Roman" w:hAnsi="Times New Roman" w:eastAsia="Calibri" w:cs="Times New Roman"/>
                <w:bCs/>
                <w:color w:val="000000"/>
                <w:lang w:val="mn-MN"/>
              </w:rPr>
              <w:t xml:space="preserve">- </w:t>
            </w:r>
            <w:r>
              <w:rPr>
                <w:rFonts w:hint="default" w:ascii="Times New Roman" w:hAnsi="Times New Roman" w:eastAsia="Calibri" w:cs="Times New Roman"/>
                <w:bCs/>
                <w:color w:val="000000"/>
                <w:lang w:val="en-US"/>
              </w:rPr>
              <w:t>Khanate resource hol</w:t>
            </w:r>
            <w:r>
              <w:rPr>
                <w:rFonts w:hint="default" w:ascii="Times New Roman" w:hAnsi="Times New Roman" w:eastAsia="Calibri" w:cs="Times New Roman"/>
                <w:bCs/>
                <w:color w:val="000000"/>
                <w:lang w:val="mn-MN"/>
              </w:rPr>
              <w:t>-9878708 ширхэг</w:t>
            </w:r>
          </w:p>
          <w:p>
            <w:pPr>
              <w:spacing w:after="0" w:line="240" w:lineRule="auto"/>
              <w:ind w:firstLine="110" w:firstLineChars="50"/>
              <w:rPr>
                <w:rFonts w:hint="default" w:ascii="Times New Roman" w:hAnsi="Times New Roman" w:eastAsia="Calibri" w:cs="Times New Roman"/>
                <w:bCs/>
                <w:color w:val="000000"/>
                <w:lang w:val="mn-MN"/>
              </w:rPr>
            </w:pPr>
            <w:r>
              <w:rPr>
                <w:rFonts w:hint="default" w:ascii="Times New Roman" w:hAnsi="Times New Roman" w:eastAsia="Calibri" w:cs="Times New Roman"/>
                <w:bCs/>
                <w:color w:val="000000"/>
                <w:lang w:val="mn-MN"/>
              </w:rPr>
              <w:t xml:space="preserve">- </w:t>
            </w:r>
            <w:r>
              <w:rPr>
                <w:rFonts w:hint="default" w:ascii="Times New Roman" w:hAnsi="Times New Roman" w:eastAsia="Calibri" w:cs="Times New Roman"/>
                <w:bCs/>
                <w:color w:val="000000"/>
                <w:lang w:val="en-US"/>
              </w:rPr>
              <w:t>BEU holdings S.A.R.L</w:t>
            </w:r>
            <w:r>
              <w:rPr>
                <w:rFonts w:hint="default" w:ascii="Times New Roman" w:hAnsi="Times New Roman" w:eastAsia="Calibri" w:cs="Times New Roman"/>
                <w:bCs/>
                <w:color w:val="000000"/>
                <w:lang w:val="mn-MN"/>
              </w:rPr>
              <w:t>-1907491 ширхэг</w:t>
            </w:r>
          </w:p>
          <w:p>
            <w:pPr>
              <w:spacing w:after="0" w:line="240" w:lineRule="auto"/>
              <w:ind w:firstLine="110" w:firstLineChars="50"/>
              <w:rPr>
                <w:rFonts w:hint="default" w:ascii="Times New Roman" w:hAnsi="Times New Roman" w:eastAsia="Calibri" w:cs="Times New Roman"/>
                <w:bCs/>
                <w:color w:val="000000"/>
                <w:lang w:val="mn-MN"/>
              </w:rPr>
            </w:pPr>
            <w:r>
              <w:rPr>
                <w:rFonts w:hint="default" w:ascii="Times New Roman" w:hAnsi="Times New Roman" w:eastAsia="Calibri" w:cs="Times New Roman"/>
                <w:bCs/>
                <w:color w:val="000000"/>
                <w:lang w:val="mn-MN"/>
              </w:rPr>
              <w:t xml:space="preserve">- </w:t>
            </w:r>
            <w:r>
              <w:rPr>
                <w:rFonts w:hint="default" w:ascii="Times New Roman" w:hAnsi="Times New Roman" w:eastAsia="Calibri" w:cs="Times New Roman"/>
                <w:bCs/>
                <w:color w:val="000000"/>
                <w:lang w:val="en-US"/>
              </w:rPr>
              <w:t>Khanate resource holding-</w:t>
            </w:r>
            <w:r>
              <w:rPr>
                <w:rFonts w:hint="default" w:ascii="Times New Roman" w:hAnsi="Times New Roman" w:eastAsia="Calibri" w:cs="Times New Roman"/>
                <w:bCs/>
                <w:color w:val="000000"/>
                <w:lang w:val="mn-MN"/>
              </w:rPr>
              <w:t>2</w:t>
            </w:r>
            <w:r>
              <w:rPr>
                <w:rFonts w:hint="default" w:ascii="Times New Roman" w:hAnsi="Times New Roman" w:eastAsia="Calibri" w:cs="Times New Roman"/>
                <w:bCs/>
                <w:color w:val="000000"/>
                <w:lang w:val="en-US"/>
              </w:rPr>
              <w:t xml:space="preserve"> S.A.R.L</w:t>
            </w:r>
            <w:r>
              <w:rPr>
                <w:rFonts w:hint="default" w:ascii="Times New Roman" w:hAnsi="Times New Roman" w:eastAsia="Calibri" w:cs="Times New Roman"/>
                <w:bCs/>
                <w:color w:val="000000"/>
                <w:lang w:val="mn-MN"/>
              </w:rPr>
              <w:t>-5957255 ширхэг</w:t>
            </w:r>
          </w:p>
          <w:p>
            <w:pPr>
              <w:spacing w:after="0" w:line="240" w:lineRule="auto"/>
              <w:rPr>
                <w:rFonts w:ascii="Times New Roman" w:hAnsi="Times New Roman" w:eastAsia="Calibri" w:cs="Times New Roman"/>
                <w:bCs/>
                <w:color w:val="000000"/>
              </w:rPr>
            </w:pPr>
          </w:p>
          <w:p>
            <w:pPr>
              <w:numPr>
                <w:ilvl w:val="0"/>
                <w:numId w:val="1"/>
              </w:numPr>
              <w:spacing w:after="0" w:line="240" w:lineRule="auto"/>
              <w:contextualSpacing/>
              <w:rPr>
                <w:rFonts w:ascii="Times New Roman" w:hAnsi="Times New Roman" w:eastAsia="Calibri" w:cs="Times New Roman"/>
                <w:b/>
                <w:bCs/>
                <w:color w:val="000000"/>
              </w:rPr>
            </w:pPr>
            <w:r>
              <w:rPr>
                <w:rFonts w:ascii="Times New Roman" w:hAnsi="Times New Roman" w:eastAsia="Calibri" w:cs="Times New Roman"/>
                <w:b/>
                <w:bCs/>
                <w:i/>
                <w:color w:val="000000"/>
              </w:rPr>
              <w:t xml:space="preserve"> Ногдол ашгийн талаарх мэдээлэл</w:t>
            </w:r>
            <w:r>
              <w:rPr>
                <w:rFonts w:ascii="Times New Roman" w:hAnsi="Times New Roman" w:eastAsia="Calibri" w:cs="Times New Roman"/>
                <w:b/>
                <w:bCs/>
                <w:color w:val="000000"/>
                <w:lang w:val="mn-MN"/>
              </w:rPr>
              <w:t xml:space="preserve"> </w:t>
            </w:r>
          </w:p>
          <w:p>
            <w:pPr>
              <w:spacing w:after="0" w:line="240" w:lineRule="auto"/>
              <w:ind w:left="360"/>
              <w:contextualSpacing/>
              <w:rPr>
                <w:rFonts w:ascii="Times New Roman" w:hAnsi="Times New Roman" w:eastAsia="Calibri" w:cs="Times New Roman"/>
                <w:b/>
                <w:bCs/>
                <w:color w:val="000000"/>
              </w:rPr>
            </w:pPr>
          </w:p>
          <w:p>
            <w:pPr>
              <w:pStyle w:val="6"/>
              <w:numPr>
                <w:ilvl w:val="0"/>
                <w:numId w:val="0"/>
              </w:numPr>
              <w:spacing w:after="120"/>
              <w:ind w:firstLine="240" w:firstLineChars="100"/>
              <w:contextualSpacing/>
              <w:jc w:val="both"/>
              <w:rPr>
                <w:rFonts w:hint="default" w:ascii="Times New Roman" w:hAnsi="Times New Roman" w:cs="Times New Roman"/>
                <w:sz w:val="24"/>
                <w:szCs w:val="24"/>
                <w:lang w:val="mn-MN"/>
              </w:rPr>
            </w:pPr>
            <w:r>
              <w:rPr>
                <w:rFonts w:hint="default" w:ascii="Times New Roman" w:hAnsi="Times New Roman" w:cs="Times New Roman"/>
                <w:sz w:val="24"/>
                <w:szCs w:val="24"/>
                <w:lang w:val="mn-MN"/>
              </w:rPr>
              <w:t xml:space="preserve">2019 оны санхүүгийн жилийн татварын дараах алдагдал </w:t>
            </w:r>
            <w:r>
              <w:rPr>
                <w:rFonts w:hint="default" w:ascii="Times New Roman" w:hAnsi="Times New Roman" w:cs="Times New Roman"/>
                <w:sz w:val="24"/>
                <w:szCs w:val="24"/>
                <w:lang w:val="en-US"/>
              </w:rPr>
              <w:t>(2</w:t>
            </w:r>
            <w:r>
              <w:rPr>
                <w:rFonts w:hint="default" w:ascii="Times New Roman" w:hAnsi="Times New Roman" w:cs="Times New Roman"/>
                <w:sz w:val="24"/>
                <w:szCs w:val="24"/>
                <w:lang w:val="mn-MN"/>
              </w:rPr>
              <w:t>,</w:t>
            </w:r>
            <w:r>
              <w:rPr>
                <w:rFonts w:hint="default" w:ascii="Times New Roman" w:hAnsi="Times New Roman" w:cs="Times New Roman"/>
                <w:sz w:val="24"/>
                <w:szCs w:val="24"/>
                <w:lang w:val="en-US"/>
              </w:rPr>
              <w:t>76</w:t>
            </w:r>
            <w:r>
              <w:rPr>
                <w:rFonts w:hint="default" w:ascii="Times New Roman" w:hAnsi="Times New Roman" w:cs="Times New Roman"/>
                <w:sz w:val="24"/>
                <w:szCs w:val="24"/>
                <w:lang w:val="mn-MN"/>
              </w:rPr>
              <w:t>3,</w:t>
            </w:r>
            <w:r>
              <w:rPr>
                <w:rFonts w:hint="default" w:ascii="Times New Roman" w:hAnsi="Times New Roman" w:cs="Times New Roman"/>
                <w:sz w:val="24"/>
                <w:szCs w:val="24"/>
                <w:lang w:val="en-US"/>
              </w:rPr>
              <w:t>3</w:t>
            </w:r>
            <w:r>
              <w:rPr>
                <w:rFonts w:hint="default" w:ascii="Times New Roman" w:hAnsi="Times New Roman" w:cs="Times New Roman"/>
                <w:sz w:val="24"/>
                <w:szCs w:val="24"/>
                <w:lang w:val="mn-MN"/>
              </w:rPr>
              <w:t>51,</w:t>
            </w:r>
            <w:r>
              <w:rPr>
                <w:rFonts w:hint="default" w:ascii="Times New Roman" w:hAnsi="Times New Roman" w:cs="Times New Roman"/>
                <w:sz w:val="24"/>
                <w:szCs w:val="24"/>
                <w:lang w:val="en-US"/>
              </w:rPr>
              <w:t>919.41)</w:t>
            </w:r>
            <w:r>
              <w:rPr>
                <w:rFonts w:hint="default" w:ascii="Times New Roman" w:hAnsi="Times New Roman" w:cs="Times New Roman"/>
                <w:sz w:val="24"/>
                <w:szCs w:val="24"/>
                <w:lang w:val="mn-MN"/>
              </w:rPr>
              <w:t xml:space="preserve"> төгрөг гарсан тул компанийн хувьцаа эзэмшигчдэд 2019 оны үйл ажиллагаанаас ногдол ашиг хуваарилахгүй байхаар Төлөөлөн удирдах зөвлөлөөс шийдвэр гаргасан болно.</w:t>
            </w:r>
          </w:p>
          <w:p>
            <w:pPr>
              <w:spacing w:after="0" w:line="240" w:lineRule="auto"/>
              <w:rPr>
                <w:rFonts w:ascii="Times New Roman" w:hAnsi="Times New Roman" w:eastAsia="Calibri" w:cs="Times New Roman"/>
                <w:b/>
                <w:bCs/>
                <w:color w:val="000000"/>
              </w:rPr>
            </w:pPr>
          </w:p>
          <w:p>
            <w:pPr>
              <w:numPr>
                <w:ilvl w:val="0"/>
                <w:numId w:val="1"/>
              </w:numPr>
              <w:spacing w:after="0" w:line="240" w:lineRule="auto"/>
              <w:ind w:left="360" w:leftChars="0" w:hanging="360" w:firstLineChars="0"/>
              <w:jc w:val="both"/>
              <w:rPr>
                <w:rFonts w:ascii="Times New Roman" w:hAnsi="Times New Roman" w:eastAsia="Times New Roman" w:cs="Times New Roman"/>
                <w:b/>
                <w:bCs/>
                <w:i/>
                <w:iCs/>
                <w:lang w:val="mn-MN"/>
              </w:rPr>
            </w:pPr>
            <w:r>
              <w:rPr>
                <w:rFonts w:ascii="Times New Roman" w:hAnsi="Times New Roman" w:eastAsia="Times New Roman" w:cs="Times New Roman"/>
                <w:b/>
                <w:bCs/>
                <w:i/>
                <w:iCs/>
                <w:lang w:val="mn-MN"/>
              </w:rPr>
              <w:t>Бусад шаардлагатай мэдээлэл</w:t>
            </w:r>
          </w:p>
          <w:p>
            <w:pPr>
              <w:spacing w:after="0" w:line="240" w:lineRule="auto"/>
              <w:jc w:val="center"/>
              <w:rPr>
                <w:rFonts w:ascii="Times New Roman" w:hAnsi="Times New Roman" w:eastAsia="Times New Roman" w:cs="Times New Roman"/>
                <w:b/>
                <w:bCs/>
                <w:i/>
                <w:iCs/>
                <w:lang w:val="mn-MN"/>
              </w:rPr>
            </w:pPr>
          </w:p>
          <w:p>
            <w:pPr>
              <w:spacing w:after="0" w:line="240" w:lineRule="auto"/>
              <w:jc w:val="center"/>
              <w:rPr>
                <w:rFonts w:ascii="Times New Roman" w:hAnsi="Times New Roman" w:eastAsia="Times New Roman" w:cs="Times New Roman"/>
                <w:b/>
                <w:bCs/>
                <w:i/>
                <w:iCs/>
                <w:lang w:val="mn-MN"/>
              </w:rPr>
            </w:pPr>
          </w:p>
          <w:p>
            <w:pPr>
              <w:spacing w:after="0" w:line="240" w:lineRule="auto"/>
              <w:jc w:val="center"/>
              <w:rPr>
                <w:rFonts w:ascii="Times New Roman" w:hAnsi="Times New Roman" w:cs="Times New Roman"/>
                <w:b/>
                <w:sz w:val="24"/>
                <w:szCs w:val="24"/>
                <w:lang w:val="mn-MN"/>
              </w:rPr>
            </w:pPr>
            <w:r>
              <w:rPr>
                <w:rFonts w:ascii="Times New Roman" w:hAnsi="Times New Roman" w:eastAsia="Times New Roman" w:cs="Times New Roman"/>
                <w:b/>
                <w:bCs/>
                <w:iCs/>
                <w:lang w:val="mn-MN"/>
              </w:rPr>
              <w:t xml:space="preserve"> </w:t>
            </w:r>
            <w:r>
              <w:rPr>
                <w:rFonts w:ascii="Times New Roman" w:hAnsi="Times New Roman" w:cs="Times New Roman"/>
                <w:b/>
                <w:sz w:val="24"/>
                <w:szCs w:val="24"/>
                <w:lang w:val="mn-MN"/>
              </w:rPr>
              <w:t>“БЭРХ УУЛ” ХК-ИЙН 201</w:t>
            </w:r>
            <w:r>
              <w:rPr>
                <w:rFonts w:ascii="Times New Roman" w:hAnsi="Times New Roman" w:cs="Times New Roman"/>
                <w:b/>
                <w:sz w:val="24"/>
                <w:szCs w:val="24"/>
              </w:rPr>
              <w:t>9</w:t>
            </w:r>
            <w:r>
              <w:rPr>
                <w:rFonts w:ascii="Times New Roman" w:hAnsi="Times New Roman" w:cs="Times New Roman"/>
                <w:b/>
                <w:sz w:val="24"/>
                <w:szCs w:val="24"/>
                <w:lang w:val="mn-MN"/>
              </w:rPr>
              <w:t xml:space="preserve"> ОНЫ ҮЙЛДВЭРЛЭЛИЙН </w:t>
            </w:r>
          </w:p>
          <w:p>
            <w:pPr>
              <w:spacing w:after="0" w:line="240" w:lineRule="auto"/>
              <w:jc w:val="center"/>
              <w:rPr>
                <w:rFonts w:ascii="Times New Roman" w:hAnsi="Times New Roman" w:cs="Times New Roman"/>
                <w:b/>
                <w:sz w:val="24"/>
                <w:szCs w:val="24"/>
                <w:lang w:val="mn-MN"/>
              </w:rPr>
            </w:pPr>
            <w:r>
              <w:rPr>
                <w:rFonts w:ascii="Times New Roman" w:hAnsi="Times New Roman" w:cs="Times New Roman"/>
                <w:b/>
                <w:sz w:val="24"/>
                <w:szCs w:val="24"/>
                <w:lang w:val="mn-MN"/>
              </w:rPr>
              <w:t xml:space="preserve">   ҮЙЛ АЖИЛЛАГААНЫ ТАЙЛАН</w:t>
            </w:r>
          </w:p>
          <w:p>
            <w:pPr>
              <w:spacing w:after="0" w:line="360" w:lineRule="auto"/>
              <w:jc w:val="center"/>
              <w:rPr>
                <w:rFonts w:ascii="Times New Roman" w:hAnsi="Times New Roman" w:cs="Times New Roman"/>
                <w:b/>
                <w:sz w:val="24"/>
                <w:szCs w:val="24"/>
                <w:lang w:val="mn-MN"/>
              </w:rPr>
            </w:pPr>
          </w:p>
          <w:p>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“Бэрх Уул” ХК нь 201</w:t>
            </w:r>
            <w:r>
              <w:rPr>
                <w:rFonts w:ascii="Times New Roman" w:hAnsi="Times New Roman" w:cs="Times New Roman"/>
                <w:sz w:val="24"/>
                <w:szCs w:val="24"/>
              </w:rPr>
              <w:t>9</w:t>
            </w:r>
            <w:r>
              <w:rPr>
                <w:rFonts w:ascii="Times New Roman" w:hAnsi="Times New Roman" w:cs="Times New Roman"/>
                <w:sz w:val="24"/>
                <w:szCs w:val="24"/>
                <w:lang w:val="mn-MN"/>
              </w:rPr>
              <w:t xml:space="preserve"> онд нүүрс олборлон борлуулах чиглэлээр үйл ажиллагаа явуулсан. </w:t>
            </w:r>
          </w:p>
          <w:p>
            <w:pPr>
              <w:pStyle w:val="6"/>
              <w:numPr>
                <w:ilvl w:val="0"/>
                <w:numId w:val="2"/>
              </w:numPr>
              <w:spacing w:after="0" w:line="36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lang w:val="mn-MN"/>
              </w:rPr>
              <w:t xml:space="preserve">Чандганы нүүрсний уурхайн хэсэг: </w:t>
            </w:r>
          </w:p>
          <w:p>
            <w:pPr>
              <w:spacing w:after="0" w:line="360" w:lineRule="auto"/>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Чандганы нүүрсний уурхайн хэсэг нь 2019 оны 10-р сараас 2020 оны эхний хагас жилийн халаалтын улирлын хөрс хуулалтын ажлыг, 2019 оны 8-р сарын 26-наас эхлэн 9-р сарын 28-ны хооронд нийт 184,000 м3 хөрс хуулалтын ажлыг амжилттай хийж гүйцэтгэсэн. </w:t>
            </w:r>
          </w:p>
          <w:p>
            <w:pPr>
              <w:spacing w:after="0" w:line="360" w:lineRule="auto"/>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Хөрс хуулалтын ажилд компанийн өөрийн техникүүд болох </w:t>
            </w:r>
            <w:r>
              <w:rPr>
                <w:rFonts w:ascii="Times New Roman" w:hAnsi="Times New Roman" w:cs="Times New Roman"/>
                <w:sz w:val="24"/>
                <w:szCs w:val="24"/>
              </w:rPr>
              <w:t>KOMATSU-D155A</w:t>
            </w:r>
            <w:r>
              <w:rPr>
                <w:rFonts w:ascii="Times New Roman" w:hAnsi="Times New Roman" w:cs="Times New Roman"/>
                <w:sz w:val="24"/>
                <w:szCs w:val="24"/>
                <w:lang w:val="mn-MN"/>
              </w:rPr>
              <w:t xml:space="preserve"> бульдозер, </w:t>
            </w:r>
            <w:r>
              <w:rPr>
                <w:rFonts w:ascii="Times New Roman" w:hAnsi="Times New Roman" w:cs="Times New Roman"/>
                <w:sz w:val="24"/>
                <w:szCs w:val="24"/>
              </w:rPr>
              <w:t>DOOSAN</w:t>
            </w:r>
            <w:r>
              <w:rPr>
                <w:rFonts w:ascii="Times New Roman" w:hAnsi="Times New Roman" w:cs="Times New Roman"/>
                <w:sz w:val="24"/>
                <w:szCs w:val="24"/>
                <w:lang w:val="mn-MN"/>
              </w:rPr>
              <w:t xml:space="preserve"> эксковатор, </w:t>
            </w:r>
            <w:r>
              <w:rPr>
                <w:rFonts w:ascii="Times New Roman" w:hAnsi="Times New Roman" w:cs="Times New Roman"/>
                <w:sz w:val="24"/>
                <w:szCs w:val="24"/>
              </w:rPr>
              <w:t xml:space="preserve"> ZL50C-</w:t>
            </w:r>
            <w:r>
              <w:rPr>
                <w:rFonts w:ascii="Times New Roman" w:hAnsi="Times New Roman" w:cs="Times New Roman"/>
                <w:sz w:val="24"/>
                <w:szCs w:val="24"/>
                <w:lang w:val="mn-MN"/>
              </w:rPr>
              <w:t xml:space="preserve">автоачигч зэрэг техникүүдийн ашиглалтын хугацаа дууссан, явах эд анги болон бусад эд анги муудсан зэргээс шалгаалан хөрс хуулалтын ажлыг хийж чадахгүйд хүрсний улмаас хувь хүмүүс болон компаниудаас техник түрээслэн, мөн түр хугацаанд үнэ төлбөргүйгээр зарим техникүүдийг авч ашигласан. </w:t>
            </w:r>
          </w:p>
          <w:p>
            <w:p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Тус түрээсийн техникүүдийг  2 ээлжээр ажилуулсан үүнд:</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rPr>
              <w:t>“</w:t>
            </w:r>
            <w:r>
              <w:rPr>
                <w:rFonts w:ascii="Times New Roman" w:hAnsi="Times New Roman" w:cs="Times New Roman"/>
                <w:sz w:val="24"/>
                <w:szCs w:val="24"/>
                <w:lang w:val="mn-MN"/>
              </w:rPr>
              <w:t>Цэнхэр өрлөг”</w:t>
            </w:r>
            <w:r>
              <w:rPr>
                <w:rFonts w:ascii="Times New Roman" w:hAnsi="Times New Roman" w:cs="Times New Roman"/>
                <w:sz w:val="24"/>
                <w:szCs w:val="24"/>
              </w:rPr>
              <w:t xml:space="preserve"> ХХК-с </w:t>
            </w:r>
            <w:r>
              <w:rPr>
                <w:rFonts w:ascii="Times New Roman" w:hAnsi="Times New Roman" w:cs="Times New Roman"/>
                <w:sz w:val="24"/>
                <w:szCs w:val="24"/>
                <w:lang w:val="mn-MN"/>
              </w:rPr>
              <w:t xml:space="preserve">2 ширхэг </w:t>
            </w:r>
            <w:r>
              <w:rPr>
                <w:rFonts w:ascii="Times New Roman" w:hAnsi="Times New Roman" w:cs="Times New Roman"/>
                <w:sz w:val="24"/>
                <w:szCs w:val="24"/>
              </w:rPr>
              <w:t>Doosan500 эксковатор</w:t>
            </w:r>
            <w:r>
              <w:rPr>
                <w:rFonts w:ascii="Times New Roman" w:hAnsi="Times New Roman" w:cs="Times New Roman"/>
                <w:sz w:val="24"/>
                <w:szCs w:val="24"/>
                <w:lang w:val="mn-MN"/>
              </w:rPr>
              <w:t xml:space="preserve">ыг өдрийн 20 цаг, тус бүр 28 хоног буюу 560 мото цаг ажиллахаар түрээслэв.               </w:t>
            </w:r>
            <w:r>
              <w:rPr>
                <w:rFonts w:ascii="Times New Roman" w:hAnsi="Times New Roman" w:cs="Times New Roman"/>
                <w:sz w:val="24"/>
                <w:szCs w:val="24"/>
              </w:rPr>
              <w:t xml:space="preserve">/ 98,0 </w:t>
            </w:r>
            <w:r>
              <w:rPr>
                <w:rFonts w:ascii="Times New Roman" w:hAnsi="Times New Roman" w:cs="Times New Roman"/>
                <w:sz w:val="24"/>
                <w:szCs w:val="24"/>
                <w:lang w:val="mn-MN"/>
              </w:rPr>
              <w:t>сая төгрөг /</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w:t>
            </w:r>
            <w:r>
              <w:rPr>
                <w:rFonts w:ascii="Times New Roman" w:hAnsi="Times New Roman" w:cs="Times New Roman"/>
                <w:sz w:val="24"/>
                <w:szCs w:val="24"/>
              </w:rPr>
              <w:t>Пүүл ресорос</w:t>
            </w:r>
            <w:r>
              <w:rPr>
                <w:rFonts w:ascii="Times New Roman" w:hAnsi="Times New Roman" w:cs="Times New Roman"/>
                <w:sz w:val="24"/>
                <w:szCs w:val="24"/>
                <w:lang w:val="mn-MN"/>
              </w:rPr>
              <w:t>”</w:t>
            </w:r>
            <w:r>
              <w:rPr>
                <w:rFonts w:ascii="Times New Roman" w:hAnsi="Times New Roman" w:cs="Times New Roman"/>
                <w:sz w:val="24"/>
                <w:szCs w:val="24"/>
              </w:rPr>
              <w:t xml:space="preserve"> ХХК-с автосамосвалл 3 </w:t>
            </w:r>
            <w:r>
              <w:rPr>
                <w:rFonts w:ascii="Times New Roman" w:hAnsi="Times New Roman" w:cs="Times New Roman"/>
                <w:sz w:val="24"/>
                <w:szCs w:val="24"/>
                <w:lang w:val="mn-MN"/>
              </w:rPr>
              <w:t>ширхэг                / 22,1 сая төгрөг /</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rPr>
              <w:t xml:space="preserve">Хувь </w:t>
            </w:r>
            <w:r>
              <w:rPr>
                <w:rFonts w:ascii="Times New Roman" w:hAnsi="Times New Roman" w:cs="Times New Roman"/>
                <w:sz w:val="24"/>
                <w:szCs w:val="24"/>
                <w:lang w:val="mn-MN"/>
              </w:rPr>
              <w:t xml:space="preserve">хүмүүсээс </w:t>
            </w:r>
            <w:r>
              <w:rPr>
                <w:rFonts w:ascii="Times New Roman" w:hAnsi="Times New Roman" w:cs="Times New Roman"/>
                <w:sz w:val="24"/>
                <w:szCs w:val="24"/>
              </w:rPr>
              <w:t>автосамосвалл 7 ш</w:t>
            </w:r>
            <w:r>
              <w:rPr>
                <w:rFonts w:ascii="Times New Roman" w:hAnsi="Times New Roman" w:cs="Times New Roman"/>
                <w:sz w:val="24"/>
                <w:szCs w:val="24"/>
                <w:lang w:val="mn-MN"/>
              </w:rPr>
              <w:t>ирхэг                             / 83,0 сая төгрөг /</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Запрукша 30 хоногийн хугацаатай ширхэг                            / 3,0 сая төгрөг /</w:t>
            </w:r>
          </w:p>
          <w:p>
            <w:p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Мөн холбогдох компаниудаас түр хугацаагаанд дараах техникүүдийг төлбөргүй ашигласан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Бульдозер 1 ширхэг</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rPr>
              <w:t>ZL50C-</w:t>
            </w:r>
            <w:r>
              <w:rPr>
                <w:rFonts w:ascii="Times New Roman" w:hAnsi="Times New Roman" w:cs="Times New Roman"/>
                <w:sz w:val="24"/>
                <w:szCs w:val="24"/>
                <w:lang w:val="mn-MN"/>
              </w:rPr>
              <w:t>автоачигч 1 ширхэг</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mn-MN"/>
              </w:rPr>
              <w:t>Хөрс хуулалтын үеэр нүүрсний нөөц, судлын унал, давхаргын бүтэц, усны түвшинг тодорхойлох зорилгоор  “Экспресстрейд” ХХК-иар 300 тууш метр буюу 7 ширхэг цооног өрөмдөхөд  22,0 сая төгрөг зарцуулсан.</w:t>
            </w:r>
            <w:r>
              <w:rPr>
                <w:rFonts w:ascii="Times New Roman" w:hAnsi="Times New Roman" w:cs="Times New Roman"/>
                <w:sz w:val="24"/>
                <w:szCs w:val="24"/>
              </w:rPr>
              <w:t xml:space="preserve"> </w:t>
            </w:r>
          </w:p>
          <w:p>
            <w:pPr>
              <w:spacing w:after="0" w:line="360" w:lineRule="auto"/>
              <w:jc w:val="both"/>
              <w:rPr>
                <w:rFonts w:ascii="Times New Roman" w:hAnsi="Times New Roman" w:cs="Times New Roman"/>
                <w:b/>
                <w:i/>
                <w:sz w:val="24"/>
                <w:szCs w:val="24"/>
                <w:lang w:val="mn-MN"/>
              </w:rPr>
            </w:pPr>
            <w:r>
              <w:rPr>
                <w:rFonts w:ascii="Times New Roman" w:hAnsi="Times New Roman" w:cs="Times New Roman"/>
                <w:b/>
                <w:i/>
                <w:sz w:val="24"/>
                <w:szCs w:val="24"/>
                <w:lang w:val="mn-MN"/>
              </w:rPr>
              <w:t>Техник тоног төхөөрөмж</w:t>
            </w:r>
          </w:p>
          <w:p>
            <w:pPr>
              <w:spacing w:after="0" w:line="360" w:lineRule="auto"/>
              <w:jc w:val="both"/>
              <w:rPr>
                <w:rFonts w:ascii="Times New Roman" w:hAnsi="Times New Roman" w:cs="Times New Roman"/>
                <w:sz w:val="24"/>
                <w:szCs w:val="24"/>
                <w:lang w:val="mn-MN"/>
              </w:rPr>
            </w:pPr>
            <w:r>
              <w:rPr>
                <w:rFonts w:ascii="Times New Roman" w:hAnsi="Times New Roman" w:cs="Times New Roman"/>
                <w:i/>
                <w:sz w:val="24"/>
                <w:szCs w:val="24"/>
                <w:lang w:val="mn-MN"/>
              </w:rPr>
              <w:tab/>
            </w:r>
            <w:r>
              <w:rPr>
                <w:rFonts w:ascii="Times New Roman" w:hAnsi="Times New Roman" w:cs="Times New Roman"/>
                <w:sz w:val="24"/>
                <w:szCs w:val="24"/>
                <w:lang w:val="mn-MN"/>
              </w:rPr>
              <w:t>Компанийн техникүүдэд:</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Булдозерт турбин солисон, бусад нэн шаардлагатай засвар үйлчилгээг хийсэн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Эксковаторт гинж, радиатор, сум, шанага, цилиндэр зэргийг бүрэн солиж бусад засвар үйлчилгээг хийсэн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rPr>
              <w:t>ZL50C-</w:t>
            </w:r>
            <w:r>
              <w:rPr>
                <w:rFonts w:ascii="Times New Roman" w:hAnsi="Times New Roman" w:cs="Times New Roman"/>
                <w:sz w:val="24"/>
                <w:szCs w:val="24"/>
                <w:lang w:val="mn-MN"/>
              </w:rPr>
              <w:t xml:space="preserve">автоачигчид моторын бүрэн ээлж, дугуй бусад засвар үйлчилгээг хийсэн </w:t>
            </w:r>
          </w:p>
          <w:p>
            <w:p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Сэлбэг засвар үйлчилгээний зардалд 40,0 гаруй сая төгрөг зарцуулсан.</w:t>
            </w:r>
          </w:p>
          <w:p>
            <w:pPr>
              <w:spacing w:after="0" w:line="360" w:lineRule="auto"/>
              <w:jc w:val="both"/>
              <w:rPr>
                <w:rFonts w:ascii="Times New Roman" w:hAnsi="Times New Roman" w:cs="Times New Roman"/>
                <w:sz w:val="24"/>
                <w:szCs w:val="24"/>
                <w:lang w:val="mn-MN"/>
              </w:rPr>
            </w:pPr>
          </w:p>
          <w:p>
            <w:pPr>
              <w:spacing w:after="0" w:line="360" w:lineRule="auto"/>
              <w:jc w:val="both"/>
              <w:rPr>
                <w:rFonts w:ascii="Times New Roman" w:hAnsi="Times New Roman" w:cs="Times New Roman"/>
                <w:b/>
                <w:i/>
                <w:sz w:val="24"/>
                <w:szCs w:val="24"/>
                <w:lang w:val="mn-MN"/>
              </w:rPr>
            </w:pPr>
            <w:r>
              <w:rPr>
                <w:rFonts w:ascii="Times New Roman" w:hAnsi="Times New Roman" w:cs="Times New Roman"/>
                <w:b/>
                <w:i/>
                <w:sz w:val="24"/>
                <w:szCs w:val="24"/>
                <w:lang w:val="mn-MN"/>
              </w:rPr>
              <w:t>Ажилчдын байр</w:t>
            </w:r>
          </w:p>
          <w:p>
            <w:p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Компанийн ажилчдын байранд их засвар болон тавилга эд хогшил шинэчлэхэд 60,0 гаруй сая төгрөг зарцуулсан. Үүнд:</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Бүх өрөөнүүдийн шалыг ховхолж элс, хайрга, дайрга хийж, цементлэн плита болгосон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Бүх өрөөнүүдийг дотор засал хийсэн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Гал тогооны өрөөнд  иж бүрэн тохижуулж, цэвэр усны тосгуур суурилуулж дотроосоо усаа авдаг, халуун хүйтэн устай болсон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Дээврийн засвар хийсэн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Интернэтэд холбосон</w:t>
            </w:r>
          </w:p>
          <w:p>
            <w:pPr>
              <w:spacing w:after="0" w:line="360" w:lineRule="auto"/>
              <w:jc w:val="both"/>
              <w:rPr>
                <w:rFonts w:ascii="Times New Roman" w:hAnsi="Times New Roman" w:cs="Times New Roman"/>
                <w:b/>
                <w:i/>
                <w:sz w:val="24"/>
                <w:szCs w:val="24"/>
                <w:lang w:val="mn-MN"/>
              </w:rPr>
            </w:pPr>
            <w:r>
              <w:rPr>
                <w:rFonts w:ascii="Times New Roman" w:hAnsi="Times New Roman" w:cs="Times New Roman"/>
                <w:b/>
                <w:i/>
                <w:sz w:val="24"/>
                <w:szCs w:val="24"/>
                <w:lang w:val="mn-MN"/>
              </w:rPr>
              <w:t>Бусад</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Поссын шинэ программ нэвтрүүлсэн ба жижиглэнгийн бүх гүйлгээ НӨАТ-шивэх үйлчилгээг иж бүрэн нэвтрүүлсэн.  </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Тэмдэг тэмдэглэгээнүүдийг шинэчлэн хийсэн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Гадна орчныг камержуулсан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Галын сараа хийсэн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Клонкын шатахууны ёмкосыг будаж үүдэнд нь цемент цутгасан</w:t>
            </w:r>
          </w:p>
          <w:p>
            <w:pPr>
              <w:pStyle w:val="6"/>
              <w:numPr>
                <w:ilvl w:val="0"/>
                <w:numId w:val="3"/>
              </w:numPr>
              <w:spacing w:after="0"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Чацарганы суулгац 350 ширхэг, алимны модны суулгац 11 ширхэгийг мөн улиасны суулгац зэрэг суулгацуудыг тус тус суулгасан</w:t>
            </w:r>
          </w:p>
          <w:p>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Чандганы уурхайн ажилчдыг хөдөлмөрийн нөхцөл, ажил үүргийн онцлогт тохируулан аюулгүй ажиллагаа, эрүүл ахуйн шаардлагад нийцсэн ажлын тусгай хувцсаар хангаж, хор саармагжуулах сүү, аарц, чацарганы шүүсийг хоол хүнсэндээ тогтмол хэрэглэж байна.</w:t>
            </w:r>
          </w:p>
          <w:p>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“Ил уурхайн аюулгүй ажиллагааны дүрэм зааварчилгаа”-г байгууллагын онцлогт тохируулан боловсруулж мөрдөж, ажилчдад ХХАА-ны дүрэм журмыг тогтмол өгч, гарын үсгээр баталгаажуулан ажилладаг.   </w:t>
            </w:r>
          </w:p>
          <w:p>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lang w:val="mn-MN"/>
              </w:rPr>
              <w:t>Борлуулалт</w:t>
            </w:r>
          </w:p>
          <w:p>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rPr>
              <w:t xml:space="preserve">Чандганы </w:t>
            </w:r>
            <w:r>
              <w:rPr>
                <w:rFonts w:ascii="Times New Roman" w:hAnsi="Times New Roman" w:cs="Times New Roman"/>
                <w:sz w:val="24"/>
                <w:szCs w:val="24"/>
                <w:lang w:val="mn-MN"/>
              </w:rPr>
              <w:t xml:space="preserve">хэсгийн </w:t>
            </w:r>
            <w:r>
              <w:rPr>
                <w:rFonts w:ascii="Times New Roman" w:hAnsi="Times New Roman" w:cs="Times New Roman"/>
                <w:sz w:val="24"/>
                <w:szCs w:val="24"/>
              </w:rPr>
              <w:t>нүүрсний борлуулалт болон борлуулсан бүтээгдэхүүний өртөг, ашиг алдагдлыг сүүлийн 3 жилээр тооцож үзвэл</w:t>
            </w:r>
            <w:r>
              <w:rPr>
                <w:rFonts w:ascii="Times New Roman" w:hAnsi="Times New Roman" w:cs="Times New Roman"/>
                <w:sz w:val="24"/>
                <w:szCs w:val="24"/>
                <w:lang w:val="mn-MN"/>
              </w:rPr>
              <w:t>:</w:t>
            </w:r>
          </w:p>
          <w:p>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mn-MN"/>
              </w:rPr>
              <w:t>Хүснэгт-1 Хураангуй тайлан</w:t>
            </w:r>
          </w:p>
          <w:tbl>
            <w:tblPr>
              <w:tblStyle w:val="3"/>
              <w:tblW w:w="8300" w:type="dxa"/>
              <w:jc w:val="center"/>
              <w:tblLayout w:type="autofit"/>
              <w:tblCellMar>
                <w:top w:w="0" w:type="dxa"/>
                <w:left w:w="108" w:type="dxa"/>
                <w:bottom w:w="0" w:type="dxa"/>
                <w:right w:w="108" w:type="dxa"/>
              </w:tblCellMar>
            </w:tblPr>
            <w:tblGrid>
              <w:gridCol w:w="600"/>
              <w:gridCol w:w="2940"/>
              <w:gridCol w:w="1140"/>
              <w:gridCol w:w="1100"/>
              <w:gridCol w:w="1100"/>
              <w:gridCol w:w="1420"/>
            </w:tblGrid>
            <w:tr>
              <w:tblPrEx>
                <w:tblCellMar>
                  <w:top w:w="0" w:type="dxa"/>
                  <w:left w:w="108" w:type="dxa"/>
                  <w:bottom w:w="0" w:type="dxa"/>
                  <w:right w:w="108" w:type="dxa"/>
                </w:tblCellMar>
              </w:tblPrEx>
              <w:trPr>
                <w:trHeight w:val="44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w:t>
                  </w:r>
                </w:p>
              </w:tc>
              <w:tc>
                <w:tcPr>
                  <w:tcW w:w="294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Төрөл</w:t>
                  </w:r>
                </w:p>
              </w:tc>
              <w:tc>
                <w:tcPr>
                  <w:tcW w:w="1140" w:type="dxa"/>
                  <w:tcBorders>
                    <w:top w:val="single" w:color="auto" w:sz="4" w:space="0"/>
                    <w:left w:val="nil"/>
                    <w:bottom w:val="single" w:color="auto" w:sz="4" w:space="0"/>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Хэмжих нэгж</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lang w:val="mn-MN"/>
                    </w:rPr>
                  </w:pPr>
                  <w:r>
                    <w:rPr>
                      <w:rFonts w:ascii="Times New Roman" w:hAnsi="Times New Roman" w:eastAsia="Times New Roman" w:cs="Times New Roman"/>
                      <w:b/>
                      <w:bCs/>
                      <w:color w:val="000000"/>
                      <w:sz w:val="20"/>
                      <w:szCs w:val="20"/>
                    </w:rPr>
                    <w:t>201</w:t>
                  </w:r>
                  <w:r>
                    <w:rPr>
                      <w:rFonts w:ascii="Times New Roman" w:hAnsi="Times New Roman" w:eastAsia="Times New Roman" w:cs="Times New Roman"/>
                      <w:b/>
                      <w:bCs/>
                      <w:color w:val="000000"/>
                      <w:sz w:val="20"/>
                      <w:szCs w:val="20"/>
                      <w:lang w:val="mn-MN"/>
                    </w:rPr>
                    <w:t>7</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lang w:val="mn-MN"/>
                    </w:rPr>
                  </w:pPr>
                  <w:r>
                    <w:rPr>
                      <w:rFonts w:ascii="Times New Roman" w:hAnsi="Times New Roman" w:eastAsia="Times New Roman" w:cs="Times New Roman"/>
                      <w:b/>
                      <w:bCs/>
                      <w:color w:val="000000"/>
                      <w:sz w:val="20"/>
                      <w:szCs w:val="20"/>
                    </w:rPr>
                    <w:t>201</w:t>
                  </w:r>
                  <w:r>
                    <w:rPr>
                      <w:rFonts w:ascii="Times New Roman" w:hAnsi="Times New Roman" w:eastAsia="Times New Roman" w:cs="Times New Roman"/>
                      <w:b/>
                      <w:bCs/>
                      <w:color w:val="000000"/>
                      <w:sz w:val="20"/>
                      <w:szCs w:val="20"/>
                      <w:lang w:val="mn-MN"/>
                    </w:rPr>
                    <w:t>8</w:t>
                  </w:r>
                </w:p>
              </w:tc>
              <w:tc>
                <w:tcPr>
                  <w:tcW w:w="142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b/>
                      <w:bCs/>
                      <w:color w:val="000000"/>
                      <w:sz w:val="20"/>
                      <w:szCs w:val="20"/>
                      <w:lang w:val="mn-MN"/>
                    </w:rPr>
                  </w:pPr>
                  <w:r>
                    <w:rPr>
                      <w:rFonts w:ascii="Times New Roman" w:hAnsi="Times New Roman" w:eastAsia="Times New Roman" w:cs="Times New Roman"/>
                      <w:b/>
                      <w:bCs/>
                      <w:color w:val="000000"/>
                      <w:sz w:val="20"/>
                      <w:szCs w:val="20"/>
                    </w:rPr>
                    <w:t>201</w:t>
                  </w:r>
                  <w:r>
                    <w:rPr>
                      <w:rFonts w:ascii="Times New Roman" w:hAnsi="Times New Roman" w:eastAsia="Times New Roman" w:cs="Times New Roman"/>
                      <w:b/>
                      <w:bCs/>
                      <w:color w:val="000000"/>
                      <w:sz w:val="20"/>
                      <w:szCs w:val="20"/>
                      <w:lang w:val="mn-MN"/>
                    </w:rPr>
                    <w:t>9</w:t>
                  </w:r>
                </w:p>
              </w:tc>
            </w:tr>
            <w:tr>
              <w:tblPrEx>
                <w:tblCellMar>
                  <w:top w:w="0" w:type="dxa"/>
                  <w:left w:w="108" w:type="dxa"/>
                  <w:bottom w:w="0" w:type="dxa"/>
                  <w:right w:w="108" w:type="dxa"/>
                </w:tblCellMar>
              </w:tblPrEx>
              <w:trPr>
                <w:trHeight w:val="332" w:hRule="atLeast"/>
                <w:jc w:val="center"/>
              </w:trPr>
              <w:tc>
                <w:tcPr>
                  <w:tcW w:w="6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29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Нүүрсний борлуулалт тн</w:t>
                  </w:r>
                </w:p>
              </w:tc>
              <w:tc>
                <w:tcPr>
                  <w:tcW w:w="11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тн</w:t>
                  </w:r>
                </w:p>
              </w:tc>
              <w:tc>
                <w:tcPr>
                  <w:tcW w:w="11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54,669.0</w:t>
                  </w:r>
                </w:p>
              </w:tc>
              <w:tc>
                <w:tcPr>
                  <w:tcW w:w="11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51,740.5</w:t>
                  </w:r>
                </w:p>
              </w:tc>
              <w:tc>
                <w:tcPr>
                  <w:tcW w:w="14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lang w:val="mn-MN"/>
                    </w:rPr>
                  </w:pPr>
                  <w:r>
                    <w:rPr>
                      <w:rFonts w:ascii="Times New Roman" w:hAnsi="Times New Roman" w:eastAsia="Times New Roman" w:cs="Times New Roman"/>
                      <w:color w:val="000000"/>
                      <w:sz w:val="20"/>
                      <w:szCs w:val="20"/>
                    </w:rPr>
                    <w:t>5</w:t>
                  </w:r>
                  <w:r>
                    <w:rPr>
                      <w:rFonts w:ascii="Times New Roman" w:hAnsi="Times New Roman" w:eastAsia="Times New Roman" w:cs="Times New Roman"/>
                      <w:color w:val="000000"/>
                      <w:sz w:val="20"/>
                      <w:szCs w:val="20"/>
                      <w:lang w:val="mn-MN"/>
                    </w:rPr>
                    <w:t>8</w:t>
                  </w:r>
                  <w:r>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lang w:val="mn-MN"/>
                    </w:rPr>
                    <w:t>157</w:t>
                  </w:r>
                  <w:r>
                    <w:rPr>
                      <w:rFonts w:ascii="Times New Roman" w:hAnsi="Times New Roman" w:eastAsia="Times New Roman" w:cs="Times New Roman"/>
                      <w:color w:val="000000"/>
                      <w:sz w:val="20"/>
                      <w:szCs w:val="20"/>
                    </w:rPr>
                    <w:t>.</w:t>
                  </w:r>
                  <w:r>
                    <w:rPr>
                      <w:rFonts w:ascii="Times New Roman" w:hAnsi="Times New Roman" w:eastAsia="Times New Roman" w:cs="Times New Roman"/>
                      <w:color w:val="000000"/>
                      <w:sz w:val="20"/>
                      <w:szCs w:val="20"/>
                      <w:lang w:val="mn-MN"/>
                    </w:rPr>
                    <w:t>09</w:t>
                  </w:r>
                </w:p>
              </w:tc>
            </w:tr>
            <w:tr>
              <w:tblPrEx>
                <w:tblCellMar>
                  <w:top w:w="0" w:type="dxa"/>
                  <w:left w:w="108" w:type="dxa"/>
                  <w:bottom w:w="0" w:type="dxa"/>
                  <w:right w:w="108" w:type="dxa"/>
                </w:tblCellMar>
              </w:tblPrEx>
              <w:trPr>
                <w:trHeight w:val="350" w:hRule="atLeast"/>
                <w:jc w:val="center"/>
              </w:trPr>
              <w:tc>
                <w:tcPr>
                  <w:tcW w:w="6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29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lang w:val="mn-MN"/>
                    </w:rPr>
                  </w:pPr>
                  <w:r>
                    <w:rPr>
                      <w:rFonts w:ascii="Times New Roman" w:hAnsi="Times New Roman" w:eastAsia="Times New Roman" w:cs="Times New Roman"/>
                      <w:color w:val="000000"/>
                      <w:sz w:val="20"/>
                      <w:szCs w:val="20"/>
                    </w:rPr>
                    <w:t xml:space="preserve">Нүүрсний борлуулалт </w:t>
                  </w:r>
                  <w:r>
                    <w:rPr>
                      <w:rFonts w:ascii="Times New Roman" w:hAnsi="Times New Roman" w:eastAsia="Times New Roman" w:cs="Times New Roman"/>
                      <w:color w:val="000000"/>
                      <w:sz w:val="20"/>
                      <w:szCs w:val="20"/>
                      <w:lang w:val="mn-MN"/>
                    </w:rPr>
                    <w:t xml:space="preserve"> /төг/</w:t>
                  </w:r>
                </w:p>
              </w:tc>
              <w:tc>
                <w:tcPr>
                  <w:tcW w:w="11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сая.төг</w:t>
                  </w:r>
                </w:p>
              </w:tc>
              <w:tc>
                <w:tcPr>
                  <w:tcW w:w="11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r>
                    <w:rPr>
                      <w:rFonts w:ascii="Times New Roman" w:hAnsi="Times New Roman" w:eastAsia="Times New Roman" w:cs="Times New Roman"/>
                      <w:color w:val="000000"/>
                      <w:sz w:val="20"/>
                      <w:szCs w:val="20"/>
                      <w:lang w:val="mn-MN"/>
                    </w:rPr>
                    <w:t>,</w:t>
                  </w:r>
                  <w:r>
                    <w:rPr>
                      <w:rFonts w:ascii="Times New Roman" w:hAnsi="Times New Roman" w:eastAsia="Times New Roman" w:cs="Times New Roman"/>
                      <w:color w:val="000000"/>
                      <w:sz w:val="20"/>
                      <w:szCs w:val="20"/>
                    </w:rPr>
                    <w:t>148.74</w:t>
                  </w:r>
                </w:p>
              </w:tc>
              <w:tc>
                <w:tcPr>
                  <w:tcW w:w="11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1,149.02</w:t>
                  </w:r>
                </w:p>
              </w:tc>
              <w:tc>
                <w:tcPr>
                  <w:tcW w:w="14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1,355.18</w:t>
                  </w:r>
                </w:p>
              </w:tc>
            </w:tr>
            <w:tr>
              <w:tblPrEx>
                <w:tblCellMar>
                  <w:top w:w="0" w:type="dxa"/>
                  <w:left w:w="108" w:type="dxa"/>
                  <w:bottom w:w="0" w:type="dxa"/>
                  <w:right w:w="108" w:type="dxa"/>
                </w:tblCellMar>
              </w:tblPrEx>
              <w:trPr>
                <w:trHeight w:val="350" w:hRule="atLeast"/>
                <w:jc w:val="center"/>
              </w:trPr>
              <w:tc>
                <w:tcPr>
                  <w:tcW w:w="6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29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ББӨ</w:t>
                  </w:r>
                </w:p>
              </w:tc>
              <w:tc>
                <w:tcPr>
                  <w:tcW w:w="11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сая.төг</w:t>
                  </w:r>
                </w:p>
              </w:tc>
              <w:tc>
                <w:tcPr>
                  <w:tcW w:w="11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971.15</w:t>
                  </w:r>
                </w:p>
              </w:tc>
              <w:tc>
                <w:tcPr>
                  <w:tcW w:w="11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932.0</w:t>
                  </w:r>
                </w:p>
              </w:tc>
              <w:tc>
                <w:tcPr>
                  <w:tcW w:w="14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889,51</w:t>
                  </w:r>
                </w:p>
              </w:tc>
            </w:tr>
            <w:tr>
              <w:tblPrEx>
                <w:tblCellMar>
                  <w:top w:w="0" w:type="dxa"/>
                  <w:left w:w="108" w:type="dxa"/>
                  <w:bottom w:w="0" w:type="dxa"/>
                  <w:right w:w="108" w:type="dxa"/>
                </w:tblCellMar>
              </w:tblPrEx>
              <w:trPr>
                <w:trHeight w:val="360" w:hRule="atLeast"/>
                <w:jc w:val="center"/>
              </w:trPr>
              <w:tc>
                <w:tcPr>
                  <w:tcW w:w="60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2940"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Нийт ашиг</w:t>
                  </w:r>
                </w:p>
              </w:tc>
              <w:tc>
                <w:tcPr>
                  <w:tcW w:w="11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сая.төг</w:t>
                  </w:r>
                </w:p>
              </w:tc>
              <w:tc>
                <w:tcPr>
                  <w:tcW w:w="11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177.59</w:t>
                  </w:r>
                </w:p>
              </w:tc>
              <w:tc>
                <w:tcPr>
                  <w:tcW w:w="11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217.02</w:t>
                  </w:r>
                </w:p>
              </w:tc>
              <w:tc>
                <w:tcPr>
                  <w:tcW w:w="14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465.67</w:t>
                  </w:r>
                </w:p>
              </w:tc>
            </w:tr>
          </w:tbl>
          <w:p>
            <w:pPr>
              <w:spacing w:after="0" w:line="360" w:lineRule="auto"/>
              <w:jc w:val="both"/>
              <w:rPr>
                <w:rFonts w:ascii="Times New Roman" w:hAnsi="Times New Roman" w:cs="Times New Roman"/>
                <w:sz w:val="24"/>
                <w:szCs w:val="24"/>
              </w:rPr>
            </w:pPr>
          </w:p>
          <w:p>
            <w:pPr>
              <w:spacing w:after="0" w:line="360" w:lineRule="auto"/>
              <w:ind w:left="360"/>
              <w:jc w:val="both"/>
              <w:rPr>
                <w:rFonts w:ascii="Times New Roman" w:hAnsi="Times New Roman" w:cs="Times New Roman"/>
                <w:b/>
                <w:i/>
                <w:sz w:val="24"/>
                <w:szCs w:val="24"/>
                <w:u w:val="single"/>
                <w:lang w:val="mn-MN"/>
              </w:rPr>
            </w:pPr>
            <w:r>
              <w:rPr>
                <w:rFonts w:ascii="Times New Roman" w:hAnsi="Times New Roman" w:cs="Times New Roman"/>
                <w:b/>
                <w:i/>
                <w:sz w:val="24"/>
                <w:szCs w:val="24"/>
                <w:u w:val="single"/>
                <w:lang w:val="mn-MN"/>
              </w:rPr>
              <w:t xml:space="preserve">2.Тусгай зөвшөөрлийн тухай: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mn-MN"/>
              </w:rPr>
              <w:t xml:space="preserve">Тус компани нь </w:t>
            </w:r>
            <w:r>
              <w:rPr>
                <w:rFonts w:ascii="Times New Roman" w:hAnsi="Times New Roman" w:cs="Times New Roman"/>
                <w:sz w:val="24"/>
                <w:szCs w:val="24"/>
              </w:rPr>
              <w:t>MV-04590</w:t>
            </w:r>
            <w:r>
              <w:rPr>
                <w:rFonts w:ascii="Times New Roman" w:hAnsi="Times New Roman" w:cs="Times New Roman"/>
                <w:sz w:val="24"/>
                <w:szCs w:val="24"/>
                <w:lang w:val="mn-MN"/>
              </w:rPr>
              <w:t xml:space="preserve">, </w:t>
            </w:r>
            <w:r>
              <w:rPr>
                <w:rFonts w:ascii="Times New Roman" w:hAnsi="Times New Roman" w:cs="Times New Roman"/>
                <w:sz w:val="24"/>
                <w:szCs w:val="24"/>
              </w:rPr>
              <w:t>MV-00166, MV-10965</w:t>
            </w:r>
            <w:r>
              <w:rPr>
                <w:rFonts w:ascii="Times New Roman" w:hAnsi="Times New Roman" w:cs="Times New Roman"/>
                <w:sz w:val="24"/>
                <w:szCs w:val="24"/>
                <w:lang w:val="mn-MN"/>
              </w:rPr>
              <w:t xml:space="preserve"> гэсэн ашиглалтын тусгай зөвшөөрлүүдийг эзэмшиж байгаа бөгөөд уг тусгай зөвшөөрлүүдийн төлбөр хугацаандаа төлөгдөн явж байна. </w:t>
            </w:r>
          </w:p>
          <w:p>
            <w:pPr>
              <w:spacing w:after="0" w:line="360" w:lineRule="auto"/>
              <w:ind w:left="360"/>
              <w:rPr>
                <w:rFonts w:ascii="Times New Roman" w:hAnsi="Times New Roman" w:cs="Times New Roman"/>
                <w:b/>
                <w:i/>
                <w:sz w:val="24"/>
                <w:szCs w:val="24"/>
                <w:u w:val="thick"/>
                <w:lang w:val="mn-MN"/>
              </w:rPr>
            </w:pPr>
            <w:r>
              <w:rPr>
                <w:rFonts w:ascii="Times New Roman" w:hAnsi="Times New Roman" w:cs="Times New Roman"/>
                <w:b/>
                <w:i/>
                <w:sz w:val="24"/>
                <w:szCs w:val="24"/>
                <w:u w:val="thick"/>
                <w:lang w:val="mn-MN"/>
              </w:rPr>
              <w:t xml:space="preserve">3.Боловсон хүчний тухай: </w:t>
            </w:r>
          </w:p>
          <w:p>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2019 онд тус компани нь Захиргааны хэсэгт-10 ажилчин, Чандганы нүүрсний уурхайн хэсэгт-11 ажилчин, Харуулын албаны хэсэгт-13 ажилчин гэсэн бүрэлдэхүүнтэйгээр,  нийт  34 ажиллагсадтайгаар үйл ажиллагаа явуулж байна. Үүнээс эмэгтэй–12, эрэгтэй–22.  </w:t>
            </w:r>
          </w:p>
          <w:p>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МШӨ-ний групптэй-2, энгийн групптэй-1, ахмад настан-5 эдгээр ажиллагсадыг эрүүл мэндэд харшлахгүй хөнгөн ажлаар ханган ажиллаж байна. </w:t>
            </w:r>
          </w:p>
          <w:p>
            <w:pPr>
              <w:spacing w:after="0" w:line="360" w:lineRule="auto"/>
              <w:ind w:firstLine="720"/>
              <w:jc w:val="both"/>
              <w:rPr>
                <w:rFonts w:ascii="Times New Roman" w:hAnsi="Times New Roman" w:cs="Times New Roman"/>
                <w:sz w:val="24"/>
                <w:szCs w:val="24"/>
                <w:lang w:val="mn-MN"/>
              </w:rPr>
            </w:pPr>
            <w:r>
              <w:rPr>
                <w:rFonts w:ascii="Times New Roman" w:hAnsi="Times New Roman" w:cs="Times New Roman"/>
                <w:sz w:val="24"/>
                <w:szCs w:val="24"/>
                <w:lang w:val="mn-MN"/>
              </w:rPr>
              <w:t>Тус компани нь “Хөдөлмөрийн дотоод  журам”-ыг боловсруулан үйл ажиллагаанд мөрдлөг болгож, 2 жил тутам шинэжилдэг. Ажил олгогчийн зүгээс ажилтан бүртэй Хөдөлмөрийн гэрээ байгуулж, шинээр орсон ажилтантай 3 сар хүртэл туршилтын гэрээ байгуулан ажиллуулдаг. Мөн ажиллагсдын цалинг сар бүрийн сүүлийн 7 хоногт олгож, нийгмийн даатгалын дэвтэрт үнэн зөв бичилт хийн баталгаажуулж байна.</w:t>
            </w:r>
          </w:p>
          <w:p>
            <w:pPr>
              <w:spacing w:after="0" w:line="360" w:lineRule="auto"/>
              <w:rPr>
                <w:rFonts w:ascii="Times New Roman" w:hAnsi="Times New Roman" w:cs="Times New Roman"/>
                <w:b/>
                <w:i/>
                <w:sz w:val="24"/>
                <w:szCs w:val="24"/>
                <w:u w:val="thick"/>
                <w:lang w:val="mn-MN"/>
              </w:rPr>
            </w:pPr>
          </w:p>
          <w:p>
            <w:pPr>
              <w:spacing w:after="0" w:line="360" w:lineRule="auto"/>
              <w:ind w:firstLine="720"/>
              <w:rPr>
                <w:rFonts w:ascii="Times New Roman" w:hAnsi="Times New Roman" w:cs="Times New Roman"/>
                <w:b/>
                <w:bCs/>
                <w:i/>
                <w:iCs/>
                <w:sz w:val="24"/>
                <w:szCs w:val="24"/>
                <w:u w:val="thick"/>
                <w:lang w:val="mn-MN"/>
              </w:rPr>
            </w:pPr>
            <w:r>
              <w:rPr>
                <w:rFonts w:ascii="Times New Roman" w:hAnsi="Times New Roman" w:cs="Times New Roman"/>
                <w:b/>
                <w:bCs/>
                <w:i/>
                <w:iCs/>
                <w:sz w:val="24"/>
                <w:szCs w:val="24"/>
                <w:u w:val="thick"/>
              </w:rPr>
              <w:t>201</w:t>
            </w:r>
            <w:r>
              <w:rPr>
                <w:rFonts w:ascii="Times New Roman" w:hAnsi="Times New Roman" w:cs="Times New Roman"/>
                <w:b/>
                <w:bCs/>
                <w:i/>
                <w:iCs/>
                <w:sz w:val="24"/>
                <w:szCs w:val="24"/>
                <w:u w:val="thick"/>
                <w:lang w:val="mn-MN"/>
              </w:rPr>
              <w:t>9</w:t>
            </w:r>
            <w:r>
              <w:rPr>
                <w:rFonts w:ascii="Times New Roman" w:hAnsi="Times New Roman" w:cs="Times New Roman"/>
                <w:b/>
                <w:bCs/>
                <w:i/>
                <w:iCs/>
                <w:sz w:val="24"/>
                <w:szCs w:val="24"/>
                <w:u w:val="thick"/>
              </w:rPr>
              <w:t xml:space="preserve"> оны татвар, нийгмийн даатгаын шимтгэлд: </w:t>
            </w:r>
          </w:p>
          <w:p>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Компани нь санхүүгийн тайлан баланс болон нийгмийн даатгалын тайланг хуульд заасан хугацаанд цаг тухайд нь гаргаж</w:t>
            </w:r>
            <w:r>
              <w:rPr>
                <w:rFonts w:ascii="Times New Roman" w:hAnsi="Times New Roman" w:cs="Times New Roman"/>
                <w:sz w:val="24"/>
                <w:szCs w:val="24"/>
                <w:lang w:val="mn-MN"/>
              </w:rPr>
              <w:t xml:space="preserve">, </w:t>
            </w:r>
            <w:r>
              <w:rPr>
                <w:rFonts w:ascii="Times New Roman" w:hAnsi="Times New Roman" w:cs="Times New Roman"/>
                <w:sz w:val="24"/>
                <w:szCs w:val="24"/>
              </w:rPr>
              <w:t xml:space="preserve"> аж ахуй нэгжийн орлогын албан татвар, хувь хүний орлогын албан татвар, үл хөдлөх хөрөнгийн албан татвар, нэмэгдсэн өртгийн албан татвар, ашигт малтмалын нөөц ашигласны төлбөр, агаарын бохирдлын төлбөр болон нийгмийн даатгалын шимтгэлийг хуульд заасан цаг хугацаанд нь төлж барагдуулж байгаа. 201</w:t>
            </w:r>
            <w:r>
              <w:rPr>
                <w:rFonts w:ascii="Times New Roman" w:hAnsi="Times New Roman" w:cs="Times New Roman"/>
                <w:sz w:val="24"/>
                <w:szCs w:val="24"/>
                <w:lang w:val="mn-MN"/>
              </w:rPr>
              <w:t>9</w:t>
            </w:r>
            <w:r>
              <w:rPr>
                <w:rFonts w:ascii="Times New Roman" w:hAnsi="Times New Roman" w:cs="Times New Roman"/>
                <w:sz w:val="24"/>
                <w:szCs w:val="24"/>
              </w:rPr>
              <w:t xml:space="preserve"> онд татварт 260,</w:t>
            </w:r>
            <w:r>
              <w:rPr>
                <w:rFonts w:ascii="Times New Roman" w:hAnsi="Times New Roman" w:cs="Times New Roman"/>
                <w:sz w:val="24"/>
                <w:szCs w:val="24"/>
                <w:lang w:val="mn-MN"/>
              </w:rPr>
              <w:t>5</w:t>
            </w:r>
            <w:r>
              <w:rPr>
                <w:rFonts w:ascii="Times New Roman" w:hAnsi="Times New Roman" w:cs="Times New Roman"/>
                <w:sz w:val="24"/>
                <w:szCs w:val="24"/>
              </w:rPr>
              <w:t xml:space="preserve"> сая төгрөг төлж </w:t>
            </w:r>
            <w:r>
              <w:rPr>
                <w:rFonts w:ascii="Times New Roman" w:hAnsi="Times New Roman" w:cs="Times New Roman"/>
                <w:sz w:val="24"/>
                <w:szCs w:val="24"/>
                <w:lang w:val="mn-MN"/>
              </w:rPr>
              <w:t>83</w:t>
            </w:r>
            <w:r>
              <w:rPr>
                <w:rFonts w:ascii="Times New Roman" w:hAnsi="Times New Roman" w:cs="Times New Roman"/>
                <w:sz w:val="24"/>
                <w:szCs w:val="24"/>
              </w:rPr>
              <w:t>,</w:t>
            </w:r>
            <w:r>
              <w:rPr>
                <w:rFonts w:ascii="Times New Roman" w:hAnsi="Times New Roman" w:cs="Times New Roman"/>
                <w:sz w:val="24"/>
                <w:szCs w:val="24"/>
                <w:lang w:val="mn-MN"/>
              </w:rPr>
              <w:t>4</w:t>
            </w:r>
            <w:r>
              <w:rPr>
                <w:rFonts w:ascii="Times New Roman" w:hAnsi="Times New Roman" w:cs="Times New Roman"/>
                <w:sz w:val="24"/>
                <w:szCs w:val="24"/>
              </w:rPr>
              <w:t xml:space="preserve"> сая төгрөгийн өртэй, мөн нийгмийн даатгалын шимтгэлд </w:t>
            </w:r>
            <w:r>
              <w:rPr>
                <w:rFonts w:ascii="Times New Roman" w:hAnsi="Times New Roman" w:cs="Times New Roman"/>
                <w:sz w:val="24"/>
                <w:szCs w:val="24"/>
                <w:lang w:val="mn-MN"/>
              </w:rPr>
              <w:t>143</w:t>
            </w:r>
            <w:r>
              <w:rPr>
                <w:rFonts w:ascii="Times New Roman" w:hAnsi="Times New Roman" w:cs="Times New Roman"/>
                <w:sz w:val="24"/>
                <w:szCs w:val="24"/>
              </w:rPr>
              <w:t>,</w:t>
            </w:r>
            <w:r>
              <w:rPr>
                <w:rFonts w:ascii="Times New Roman" w:hAnsi="Times New Roman" w:cs="Times New Roman"/>
                <w:sz w:val="24"/>
                <w:szCs w:val="24"/>
                <w:lang w:val="mn-MN"/>
              </w:rPr>
              <w:t>9</w:t>
            </w:r>
            <w:r>
              <w:rPr>
                <w:rFonts w:ascii="Times New Roman" w:hAnsi="Times New Roman" w:cs="Times New Roman"/>
                <w:sz w:val="24"/>
                <w:szCs w:val="24"/>
              </w:rPr>
              <w:t xml:space="preserve"> сая төгрөг төлж  шимтгэлийн өргүй гарсан.</w:t>
            </w:r>
          </w:p>
          <w:p>
            <w:pPr>
              <w:spacing w:after="0" w:line="360" w:lineRule="auto"/>
              <w:ind w:firstLine="720"/>
              <w:jc w:val="both"/>
              <w:rPr>
                <w:rFonts w:ascii="Times New Roman" w:hAnsi="Times New Roman" w:cs="Times New Roman"/>
                <w:sz w:val="24"/>
                <w:szCs w:val="24"/>
              </w:rPr>
            </w:pPr>
          </w:p>
          <w:p>
            <w:pPr>
              <w:spacing w:after="0" w:line="360" w:lineRule="auto"/>
              <w:ind w:firstLine="720"/>
              <w:rPr>
                <w:rFonts w:ascii="Times New Roman" w:hAnsi="Times New Roman" w:cs="Times New Roman"/>
                <w:sz w:val="24"/>
                <w:szCs w:val="24"/>
                <w:lang w:val="mn-MN"/>
              </w:rPr>
            </w:pPr>
            <w:r>
              <w:rPr>
                <w:rFonts w:ascii="Times New Roman" w:hAnsi="Times New Roman" w:cs="Times New Roman"/>
                <w:sz w:val="24"/>
                <w:szCs w:val="24"/>
                <w:lang w:val="mn-MN"/>
              </w:rPr>
              <w:t>Хүснэгт-3   Татварын тайлан</w:t>
            </w:r>
          </w:p>
          <w:tbl>
            <w:tblPr>
              <w:tblStyle w:val="3"/>
              <w:tblW w:w="9176" w:type="dxa"/>
              <w:tblInd w:w="-5" w:type="dxa"/>
              <w:tblLayout w:type="autofit"/>
              <w:tblCellMar>
                <w:top w:w="0" w:type="dxa"/>
                <w:left w:w="108" w:type="dxa"/>
                <w:bottom w:w="0" w:type="dxa"/>
                <w:right w:w="108" w:type="dxa"/>
              </w:tblCellMar>
            </w:tblPr>
            <w:tblGrid>
              <w:gridCol w:w="960"/>
              <w:gridCol w:w="2726"/>
              <w:gridCol w:w="1216"/>
              <w:gridCol w:w="1400"/>
              <w:gridCol w:w="1600"/>
              <w:gridCol w:w="1380"/>
            </w:tblGrid>
            <w:tr>
              <w:tblPrEx>
                <w:tblCellMar>
                  <w:top w:w="0" w:type="dxa"/>
                  <w:left w:w="108" w:type="dxa"/>
                  <w:bottom w:w="0" w:type="dxa"/>
                  <w:right w:w="108" w:type="dxa"/>
                </w:tblCellMar>
              </w:tblPrEx>
              <w:trPr>
                <w:trHeight w:val="600"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c>
                <w:tcPr>
                  <w:tcW w:w="2726"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Татварын төрөл</w:t>
                  </w:r>
                </w:p>
              </w:tc>
              <w:tc>
                <w:tcPr>
                  <w:tcW w:w="111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2019 оны эхний үлд</w:t>
                  </w:r>
                </w:p>
              </w:tc>
              <w:tc>
                <w:tcPr>
                  <w:tcW w:w="140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Үүссэн</w:t>
                  </w:r>
                </w:p>
              </w:tc>
              <w:tc>
                <w:tcPr>
                  <w:tcW w:w="160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Төлсөн</w:t>
                  </w:r>
                </w:p>
              </w:tc>
              <w:tc>
                <w:tcPr>
                  <w:tcW w:w="13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2019 оны 12.31 үлд</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Агаарын бохирдол</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29,078,545</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29,078,545</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АМНАТ</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33,879,434</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33,879,434</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ААНОАТ</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sz w:val="20"/>
                      <w:szCs w:val="20"/>
                    </w:rPr>
                  </w:pP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sz w:val="20"/>
                      <w:szCs w:val="20"/>
                    </w:rPr>
                  </w:pP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НӨАТ</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51,758,580</w:t>
                  </w: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142,177,567</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112,331,008</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81,605,139</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5</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ХАОАТ</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38,376,431</w:t>
                  </w: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32,492,463</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70,868,894</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Суутган 10</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1,484,667</w:t>
                  </w: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3,959,259</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3,648,148</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1,795,778</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7</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АТӨЯХАТ</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655,000</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655,000</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АТӨЯХАБТ</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43,300</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43,300</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ҮХХАТ</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6,473,398</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6,473,398</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Газрын төлбөр / Бэрх /</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165,594</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165,594</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11</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Газрын төлбөр / Дэлгэрхаан /</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917,440</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917,440</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Газрын төлбөр / Чандган /</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2,329,100</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2,329,100</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13</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Галт зэвсгийн татвар</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sz w:val="20"/>
                      <w:szCs w:val="20"/>
                    </w:rPr>
                  </w:pP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120,000</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120,000</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НД-н шимтгэл</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35,470,337</w:t>
                  </w: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108,458,362</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143,928,699</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r>
            <w:tr>
              <w:tblPrEx>
                <w:tblCellMar>
                  <w:top w:w="0" w:type="dxa"/>
                  <w:left w:w="108" w:type="dxa"/>
                  <w:bottom w:w="0" w:type="dxa"/>
                  <w:right w:w="108" w:type="dxa"/>
                </w:tblCellMar>
              </w:tblPrEx>
              <w:trPr>
                <w:trHeight w:val="345" w:hRule="atLeast"/>
              </w:trPr>
              <w:tc>
                <w:tcPr>
                  <w:tcW w:w="36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Нийт дүн</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127,090,015</w:t>
                  </w: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360,749,462</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404,438,561</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83,400,917</w:t>
                  </w:r>
                </w:p>
              </w:tc>
            </w:tr>
            <w:tr>
              <w:tblPrEx>
                <w:tblCellMar>
                  <w:top w:w="0" w:type="dxa"/>
                  <w:left w:w="108" w:type="dxa"/>
                  <w:bottom w:w="0" w:type="dxa"/>
                  <w:right w:w="108" w:type="dxa"/>
                </w:tblCellMar>
              </w:tblPrEx>
              <w:trPr>
                <w:trHeight w:val="345" w:hRule="atLeast"/>
              </w:trPr>
              <w:tc>
                <w:tcPr>
                  <w:tcW w:w="91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Татвар НДШ-н хураангүй</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Татварын төрөл</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Эхний үлд</w:t>
                  </w: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Үүссэн</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Төлсөн</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Эцсийн үлд</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Татвар</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91,619,678</w:t>
                  </w: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252,291,100</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260,509,862</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83,400,917</w:t>
                  </w:r>
                </w:p>
              </w:tc>
            </w:tr>
            <w:tr>
              <w:tblPrEx>
                <w:tblCellMar>
                  <w:top w:w="0" w:type="dxa"/>
                  <w:left w:w="108" w:type="dxa"/>
                  <w:bottom w:w="0" w:type="dxa"/>
                  <w:right w:w="108" w:type="dxa"/>
                </w:tblCellMar>
              </w:tblPrEx>
              <w:trPr>
                <w:trHeight w:val="345" w:hRule="atLeast"/>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2</w:t>
                  </w:r>
                </w:p>
              </w:tc>
              <w:tc>
                <w:tcPr>
                  <w:tcW w:w="2726"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НД-н шимтгэл</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35,470,337</w:t>
                  </w: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108,458,362</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143,928,699</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0</w:t>
                  </w:r>
                </w:p>
              </w:tc>
            </w:tr>
            <w:tr>
              <w:tblPrEx>
                <w:tblCellMar>
                  <w:top w:w="0" w:type="dxa"/>
                  <w:left w:w="108" w:type="dxa"/>
                  <w:bottom w:w="0" w:type="dxa"/>
                  <w:right w:w="108" w:type="dxa"/>
                </w:tblCellMar>
              </w:tblPrEx>
              <w:trPr>
                <w:trHeight w:val="345" w:hRule="atLeast"/>
              </w:trPr>
              <w:tc>
                <w:tcPr>
                  <w:tcW w:w="36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Нийт дүн</w:t>
                  </w:r>
                </w:p>
              </w:tc>
              <w:tc>
                <w:tcPr>
                  <w:tcW w:w="111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127,090,015</w:t>
                  </w:r>
                </w:p>
              </w:tc>
              <w:tc>
                <w:tcPr>
                  <w:tcW w:w="14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360,749,462</w:t>
                  </w:r>
                </w:p>
              </w:tc>
              <w:tc>
                <w:tcPr>
                  <w:tcW w:w="160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404,438,561</w:t>
                  </w:r>
                </w:p>
              </w:tc>
              <w:tc>
                <w:tcPr>
                  <w:tcW w:w="1380"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83,400,917</w:t>
                  </w:r>
                </w:p>
              </w:tc>
            </w:tr>
          </w:tbl>
          <w:p>
            <w:pPr>
              <w:spacing w:after="0"/>
              <w:rPr>
                <w:rFonts w:ascii="Times New Roman" w:hAnsi="Times New Roman" w:cs="Times New Roman"/>
                <w:sz w:val="24"/>
                <w:szCs w:val="24"/>
                <w:lang w:val="mn-MN"/>
              </w:rPr>
            </w:pPr>
          </w:p>
          <w:p>
            <w:pPr>
              <w:spacing w:after="0"/>
              <w:jc w:val="both"/>
              <w:rPr>
                <w:rFonts w:ascii="Times New Roman" w:hAnsi="Times New Roman" w:cs="Times New Roman"/>
                <w:b/>
                <w:sz w:val="24"/>
                <w:szCs w:val="24"/>
                <w:lang w:val="mn-MN" w:bidi="mn-Mong-CN"/>
              </w:rPr>
            </w:pPr>
          </w:p>
          <w:p>
            <w:pPr>
              <w:spacing w:after="0"/>
              <w:jc w:val="both"/>
              <w:rPr>
                <w:rFonts w:ascii="Times New Roman" w:hAnsi="Times New Roman" w:cs="Times New Roman"/>
                <w:b/>
                <w:sz w:val="24"/>
                <w:szCs w:val="24"/>
                <w:lang w:val="mn-MN" w:bidi="mn-Mong-CN"/>
              </w:rPr>
            </w:pPr>
            <w:r>
              <w:rPr>
                <w:rFonts w:ascii="Times New Roman" w:hAnsi="Times New Roman" w:cs="Times New Roman"/>
                <w:b/>
                <w:sz w:val="24"/>
                <w:szCs w:val="24"/>
                <w:lang w:val="mn-MN" w:bidi="mn-Mong-CN"/>
              </w:rPr>
              <w:t xml:space="preserve">Дүгнэлт:  </w:t>
            </w:r>
          </w:p>
          <w:p>
            <w:pPr>
              <w:spacing w:after="0"/>
              <w:ind w:firstLine="72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 xml:space="preserve">Тус тайлант хугацаанд компани нь хэдий алдагдалтай ажилсан боловч Чандганы хэсэг нь хөрс хуулалт, нүүрс борлуулалт, техникийн засвар үйлчилгээ, ажилчдын байрны их засварын ажил, цахилгааны шийдний шинэчлэл, уурын зуухны шинэчлэл, хайгуул өрөмдлөг, зэрэг олон ажилуудыг амжилттай хийж гүйцэтгэсэн.  </w:t>
            </w:r>
          </w:p>
          <w:p>
            <w:pPr>
              <w:spacing w:after="0"/>
              <w:ind w:firstLine="72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Бэрхийн оффисийн бүх ажилчдад нормын хувцас, мөн эмэгтэй ажилчдыг иж бүрэн оффис хувцасаа</w:t>
            </w:r>
            <w:r>
              <w:rPr>
                <w:rFonts w:hint="default" w:ascii="Times New Roman" w:hAnsi="Times New Roman" w:cs="Times New Roman"/>
                <w:sz w:val="24"/>
                <w:szCs w:val="24"/>
                <w:lang w:val="mn-MN" w:bidi="mn-Mong-CN"/>
              </w:rPr>
              <w:t>р</w:t>
            </w:r>
            <w:r>
              <w:rPr>
                <w:rFonts w:ascii="Times New Roman" w:hAnsi="Times New Roman" w:cs="Times New Roman"/>
                <w:sz w:val="24"/>
                <w:szCs w:val="24"/>
                <w:lang w:val="mn-MN" w:bidi="mn-Mong-CN"/>
              </w:rPr>
              <w:t xml:space="preserve"> хангасан. Ажилчдын амралт чөлөөт цагаа зөв боловсон өнгөрөөхөд зориулж фитнесийн иж бүрэн тоног төхөөрөмж, ширээний теннис зэргийг суурилуулсан.</w:t>
            </w:r>
          </w:p>
          <w:p>
            <w:pPr>
              <w:spacing w:after="0"/>
              <w:ind w:firstLine="72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Оффисын гадна талбайд алимны мод, уурхайн гадна талбайд 2 настай Чацарганы  суулгац, алимны мод суулгасан.</w:t>
            </w:r>
          </w:p>
          <w:p>
            <w:pPr>
              <w:spacing w:after="0"/>
              <w:ind w:firstLine="72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Дэлгэрхааны орд газарт цахилгааны техникийн нөхцөл, гүний уурхайн ус соруулалтын ажлыг хийсэн.</w:t>
            </w:r>
          </w:p>
          <w:p>
            <w:pPr>
              <w:spacing w:after="0"/>
              <w:ind w:firstLine="72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Мөн сум орон нутагтай нийгмийн хариуцлагын гэрээний дагуу Мөрөн сумын хогийн цэгийг түрэх, зорилтот</w:t>
            </w:r>
            <w:r>
              <w:rPr>
                <w:rFonts w:hint="default" w:ascii="Times New Roman" w:hAnsi="Times New Roman" w:cs="Times New Roman"/>
                <w:sz w:val="24"/>
                <w:szCs w:val="24"/>
                <w:lang w:val="mn-MN" w:bidi="mn-Mong-CN"/>
              </w:rPr>
              <w:t xml:space="preserve"> </w:t>
            </w:r>
            <w:r>
              <w:rPr>
                <w:rFonts w:ascii="Times New Roman" w:hAnsi="Times New Roman" w:cs="Times New Roman"/>
                <w:sz w:val="24"/>
                <w:szCs w:val="24"/>
                <w:lang w:val="mn-MN" w:bidi="mn-Mong-CN"/>
              </w:rPr>
              <w:t xml:space="preserve"> бүлгийн хүмүүст нүүрс олгох</w:t>
            </w:r>
            <w:r>
              <w:rPr>
                <w:rFonts w:ascii="Times New Roman" w:hAnsi="Times New Roman" w:cs="Times New Roman"/>
                <w:sz w:val="24"/>
                <w:szCs w:val="24"/>
                <w:lang w:bidi="mn-Mong-CN"/>
              </w:rPr>
              <w:t xml:space="preserve"> </w:t>
            </w:r>
            <w:r>
              <w:rPr>
                <w:rFonts w:ascii="Times New Roman" w:hAnsi="Times New Roman" w:cs="Times New Roman"/>
                <w:sz w:val="24"/>
                <w:szCs w:val="24"/>
                <w:lang w:val="mn-MN" w:bidi="mn-Mong-CN"/>
              </w:rPr>
              <w:t xml:space="preserve">болон  </w:t>
            </w:r>
            <w:r>
              <w:rPr>
                <w:rFonts w:hint="default" w:ascii="Times New Roman" w:hAnsi="Times New Roman" w:cs="Times New Roman"/>
                <w:sz w:val="24"/>
                <w:szCs w:val="24"/>
                <w:lang w:val="mn-MN" w:bidi="mn-Mong-CN"/>
              </w:rPr>
              <w:t xml:space="preserve">1 </w:t>
            </w:r>
            <w:r>
              <w:rPr>
                <w:rFonts w:ascii="Times New Roman" w:hAnsi="Times New Roman" w:cs="Times New Roman"/>
                <w:sz w:val="24"/>
                <w:szCs w:val="24"/>
                <w:lang w:val="mn-MN" w:bidi="mn-Mong-CN"/>
              </w:rPr>
              <w:t>өрхөд</w:t>
            </w:r>
            <w:r>
              <w:rPr>
                <w:rFonts w:hint="default" w:ascii="Times New Roman" w:hAnsi="Times New Roman" w:cs="Times New Roman"/>
                <w:sz w:val="24"/>
                <w:szCs w:val="24"/>
                <w:lang w:val="mn-MN" w:bidi="mn-Mong-CN"/>
              </w:rPr>
              <w:t xml:space="preserve"> </w:t>
            </w:r>
            <w:r>
              <w:rPr>
                <w:rFonts w:ascii="Times New Roman" w:hAnsi="Times New Roman" w:cs="Times New Roman"/>
                <w:sz w:val="24"/>
                <w:szCs w:val="24"/>
                <w:lang w:val="mn-MN" w:bidi="mn-Mong-CN"/>
              </w:rPr>
              <w:t xml:space="preserve"> шинэ гэр хандивласан. </w:t>
            </w:r>
          </w:p>
          <w:p>
            <w:pPr>
              <w:spacing w:after="0"/>
              <w:ind w:firstLine="72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Эрчим Хүчний Зохицуулах Хорооноос баталсан нүүрсний зохицуулалттай үнээр буюу 1 тонн нүүрсийг 23</w:t>
            </w:r>
            <w:r>
              <w:rPr>
                <w:rFonts w:ascii="Times New Roman" w:hAnsi="Times New Roman" w:cs="Times New Roman"/>
                <w:sz w:val="24"/>
                <w:szCs w:val="24"/>
                <w:lang w:bidi="mn-Mong-CN"/>
              </w:rPr>
              <w:t xml:space="preserve">’000 </w:t>
            </w:r>
            <w:r>
              <w:rPr>
                <w:rFonts w:ascii="Times New Roman" w:hAnsi="Times New Roman" w:cs="Times New Roman"/>
                <w:sz w:val="24"/>
                <w:szCs w:val="24"/>
                <w:lang w:val="mn-MN" w:bidi="mn-Mong-CN"/>
              </w:rPr>
              <w:t>төгрөгөөр борлуулж байгаа нь уурхайн үйл ажиллагаа болон компанийн үйл ажиллагаанд сөргөөр нөлөөлж байна.</w:t>
            </w:r>
          </w:p>
          <w:p>
            <w:pPr>
              <w:spacing w:after="0"/>
              <w:ind w:firstLine="72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Уурхайн уул техникийн нөхцөл хүндэрсэн, олборлолтын өртөг жилээс жилд өсөн нэмэгдэж байгаа нь цаашид техникийн шинэчлэлт хийх боломжгүй болгож , улмаар хэвийн үйл ажиллагаанд нөлөөлж болзошгүй байна.</w:t>
            </w:r>
          </w:p>
          <w:p>
            <w:pPr>
              <w:spacing w:after="0"/>
              <w:ind w:firstLine="720"/>
              <w:jc w:val="both"/>
              <w:rPr>
                <w:rFonts w:ascii="Times New Roman" w:hAnsi="Times New Roman" w:cs="Times New Roman"/>
                <w:sz w:val="24"/>
                <w:szCs w:val="24"/>
                <w:lang w:val="mn-MN" w:bidi="mn-Mong-CN"/>
              </w:rPr>
            </w:pPr>
          </w:p>
          <w:p>
            <w:pPr>
              <w:spacing w:after="0"/>
              <w:jc w:val="both"/>
              <w:rPr>
                <w:rFonts w:ascii="Times New Roman" w:hAnsi="Times New Roman" w:cs="Times New Roman"/>
                <w:b/>
                <w:sz w:val="24"/>
                <w:szCs w:val="24"/>
                <w:lang w:val="mn-MN" w:bidi="mn-Mong-CN"/>
              </w:rPr>
            </w:pPr>
            <w:r>
              <w:rPr>
                <w:rFonts w:ascii="Times New Roman" w:hAnsi="Times New Roman" w:cs="Times New Roman"/>
                <w:b/>
                <w:sz w:val="24"/>
                <w:szCs w:val="24"/>
                <w:lang w:val="mn-MN" w:bidi="mn-Mong-CN"/>
              </w:rPr>
              <w:t>Санал:</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 xml:space="preserve">Хөрс хуулалтын үеэр 2 ээлжээр явах нь зөв боловч шөнийн ээлжийн хоолны цаг оновчтой  тогтоох. Шөнийн ээлжийн ажлын бүтээл 03 цагаас хойш нийтлэг буурч байсан ба ялангуяа шөнийн 02-06 цагт. Тиймээс хоёр ээлжээр ажиллах тохиолдолд цагийн хуваарийг өглөөний 06 цагаас шөнийн 03 цаг байхаар ээлжийн хуваарийг тохируулах. </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 xml:space="preserve">Талбайн гэрэлтүүлгийн асуудлыг оновчтой шийдвэрлэх нь шөнийн ээлжийн ажлын бүтээлд нөлөөлөхөөр байна. </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Шөнийн гэрэлтүүлэг сайтай үед туслах ажилтан буюу дохиочин шаардлагагүй болох боломжтой.</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 xml:space="preserve">Талбай, зам, маршрутыг камержуулах, </w:t>
            </w:r>
            <w:r>
              <w:rPr>
                <w:rFonts w:ascii="Times New Roman" w:hAnsi="Times New Roman" w:cs="Times New Roman"/>
                <w:sz w:val="24"/>
                <w:szCs w:val="24"/>
                <w:lang w:bidi="mn-Mong-CN"/>
              </w:rPr>
              <w:t>Wireless GPS-</w:t>
            </w:r>
            <w:r>
              <w:rPr>
                <w:rFonts w:ascii="Times New Roman" w:hAnsi="Times New Roman" w:cs="Times New Roman"/>
                <w:sz w:val="24"/>
                <w:szCs w:val="24"/>
                <w:lang w:val="mn-MN" w:bidi="mn-Mong-CN"/>
              </w:rPr>
              <w:t>ээр хянах, хяналтын тогтолцоог бүрдүүлэх</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Сумдууд, төрийн байгууллагууд болон зарим нэг төрийн байгууллагууд нүүрс худалдан авах тендер зарладаг болсон. Үүнтэй холбоотойгоор тендерт оролцож борлуулалтын тоо хэмжээг нэмэх боломжтой.</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Уурхайн үйл ажиллагаанд ашиглах нүүрс тээвэр болон хөрс хуулалтанд ашиглах 20 кубын ачааны машинтай болох.</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Агуулах, сэлбэг, түлш зарцуулалт, шатах тослох материалын зарцуулалтын тайлангийн анхан шатны мэдээллийн бааз үүсгэх, тайланг хөтлөх, автоматжуулах, улмаар ажилтны хөдөлмөрийн бүтээмжийг бодитой үнэлэх үнэлгээний систем бий болгох.</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2020-2021 оны өвөлжилтийн бэлтгэл ажлын хүрээнд олборлох нүүрсийг 65</w:t>
            </w:r>
            <w:r>
              <w:rPr>
                <w:rFonts w:ascii="Times New Roman" w:hAnsi="Times New Roman" w:cs="Times New Roman"/>
                <w:sz w:val="24"/>
                <w:szCs w:val="24"/>
                <w:lang w:bidi="mn-Mong-CN"/>
              </w:rPr>
              <w:t xml:space="preserve">’000 </w:t>
            </w:r>
            <w:r>
              <w:rPr>
                <w:rFonts w:ascii="Times New Roman" w:hAnsi="Times New Roman" w:cs="Times New Roman"/>
                <w:sz w:val="24"/>
                <w:szCs w:val="24"/>
                <w:lang w:val="mn-MN" w:bidi="mn-Mong-CN"/>
              </w:rPr>
              <w:t>тонн</w:t>
            </w:r>
            <w:r>
              <w:rPr>
                <w:rFonts w:hint="default" w:ascii="Times New Roman" w:hAnsi="Times New Roman" w:cs="Times New Roman"/>
                <w:sz w:val="24"/>
                <w:szCs w:val="24"/>
                <w:lang w:val="mn-MN" w:bidi="mn-Mong-CN"/>
              </w:rPr>
              <w:t>-</w:t>
            </w:r>
            <w:r>
              <w:rPr>
                <w:rFonts w:ascii="Times New Roman" w:hAnsi="Times New Roman" w:cs="Times New Roman"/>
                <w:sz w:val="24"/>
                <w:szCs w:val="24"/>
                <w:lang w:val="mn-MN" w:bidi="mn-Mong-CN"/>
              </w:rPr>
              <w:t>д хүргэж борлуулах.</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Хэт бага үнээр борлуулж буй нүүрсний үнэнд зохих өөрчлөлтийг оруулах.</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Усан доороос нүүрс олборлох, нүүрс олборлолтын өртгийг бууруулах тал дээр онцгой анхаарах</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Чандганы уурхайн хөрс нь бороо орсны дараа техник явах боломжгүй болдог тул техникүүдийн гэрээнд борооноос үүдэлтэй сул зогсолттой холбоотой заалтыг нарийвчлан оруулж өгөх.</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Урт хугацаанд ашиглагдах замын тэмдэг тэмдэглэгээ, замын нөхцөлийг сайжруулах.</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Отволын гэрэлтүүлэгийг сайжруулах, урт хугацаанд тогтвортой овоолго үүсэх нөхцөлийг бүрдүүлэх</w:t>
            </w:r>
          </w:p>
          <w:p>
            <w:pPr>
              <w:pStyle w:val="6"/>
              <w:numPr>
                <w:ilvl w:val="0"/>
                <w:numId w:val="3"/>
              </w:numPr>
              <w:spacing w:after="0"/>
              <w:jc w:val="both"/>
              <w:rPr>
                <w:rFonts w:ascii="Times New Roman" w:hAnsi="Times New Roman" w:cs="Times New Roman"/>
                <w:sz w:val="24"/>
                <w:szCs w:val="24"/>
                <w:lang w:val="mn-MN" w:bidi="mn-Mong-CN"/>
              </w:rPr>
            </w:pPr>
            <w:r>
              <w:rPr>
                <w:rFonts w:ascii="Times New Roman" w:hAnsi="Times New Roman" w:cs="Times New Roman"/>
                <w:sz w:val="24"/>
                <w:szCs w:val="24"/>
                <w:lang w:val="mn-MN" w:bidi="mn-Mong-CN"/>
              </w:rPr>
              <w:t>Усан доорх боломжит нүүрсийг авч, дотоод овоолго үүсгэх уулын ажлын төлөвлөгөөг урт хугацаагаар төлөвлөж боловсруулах, улмаар хөрс хуулалтын нэгжийн өртгийг бууруулах.</w:t>
            </w:r>
          </w:p>
          <w:p>
            <w:pPr>
              <w:widowControl w:val="0"/>
              <w:numPr>
                <w:ilvl w:val="0"/>
                <w:numId w:val="0"/>
              </w:numPr>
              <w:spacing w:before="55" w:after="0" w:line="240" w:lineRule="auto"/>
              <w:ind w:leftChars="0"/>
              <w:outlineLvl w:val="1"/>
              <w:rPr>
                <w:rFonts w:ascii="Times New Roman" w:hAnsi="Times New Roman" w:eastAsia="Times New Roman" w:cs="Times New Roman"/>
                <w:b/>
                <w:bCs/>
                <w:iCs/>
                <w:lang w:val="mn-MN"/>
              </w:rPr>
            </w:pPr>
          </w:p>
          <w:p>
            <w:pPr>
              <w:keepNext/>
              <w:spacing w:after="60" w:line="240" w:lineRule="auto"/>
              <w:ind w:left="1440" w:hanging="720"/>
              <w:outlineLvl w:val="1"/>
              <w:rPr>
                <w:rFonts w:ascii="Times New Roman" w:hAnsi="Times New Roman" w:eastAsia="Times New Roman" w:cs="Times New Roman"/>
                <w:b/>
                <w:i/>
                <w:iCs/>
                <w:color w:val="000000"/>
              </w:rPr>
            </w:pPr>
          </w:p>
          <w:p>
            <w:pPr>
              <w:spacing w:after="0" w:line="240" w:lineRule="auto"/>
              <w:rPr>
                <w:rFonts w:ascii="Times New Roman" w:hAnsi="Times New Roman" w:eastAsia="Calibri" w:cs="Times New Roman"/>
              </w:rPr>
            </w:pPr>
          </w:p>
          <w:p>
            <w:pPr>
              <w:spacing w:after="0" w:line="240" w:lineRule="auto"/>
              <w:rPr>
                <w:rFonts w:ascii="Times New Roman" w:hAnsi="Times New Roman" w:eastAsia="Calibri" w:cs="Times New Roman"/>
              </w:rPr>
            </w:pPr>
          </w:p>
          <w:p>
            <w:pPr>
              <w:spacing w:after="0" w:line="240" w:lineRule="auto"/>
              <w:rPr>
                <w:rFonts w:ascii="Times New Roman" w:hAnsi="Times New Roman" w:eastAsia="Calibri" w:cs="Times New Roman"/>
              </w:rPr>
            </w:pPr>
          </w:p>
          <w:p>
            <w:pPr>
              <w:spacing w:after="0" w:line="240" w:lineRule="auto"/>
              <w:rPr>
                <w:rFonts w:ascii="Times New Roman" w:hAnsi="Times New Roman" w:eastAsia="Calibri" w:cs="Times New Roman"/>
              </w:rPr>
            </w:pPr>
          </w:p>
          <w:p>
            <w:pPr>
              <w:spacing w:after="0" w:line="240" w:lineRule="auto"/>
              <w:rPr>
                <w:rFonts w:ascii="Calibri" w:hAnsi="Calibri" w:eastAsia="Calibri" w:cs="Times New Roman"/>
              </w:rPr>
            </w:pPr>
          </w:p>
          <w:p>
            <w:pPr>
              <w:keepNext/>
              <w:spacing w:before="55" w:after="60" w:line="240" w:lineRule="auto"/>
              <w:ind w:left="720"/>
              <w:jc w:val="both"/>
              <w:outlineLvl w:val="1"/>
              <w:rPr>
                <w:rFonts w:ascii="Times New Roman" w:hAnsi="Times New Roman" w:eastAsia="Times New Roman" w:cs="Times New Roman"/>
                <w:bCs/>
                <w:iCs/>
                <w:color w:val="FF0000"/>
                <w:lang w:val="mn-MN"/>
              </w:rPr>
            </w:pPr>
            <w:r>
              <w:rPr>
                <w:rFonts w:ascii="Times New Roman" w:hAnsi="Times New Roman" w:eastAsia="Times New Roman" w:cs="Times New Roman"/>
                <w:b/>
                <w:iCs/>
                <w:color w:val="000000"/>
                <w:lang w:val="mn-MN"/>
              </w:rPr>
              <w:t>Санамж:</w:t>
            </w:r>
            <w:r>
              <w:rPr>
                <w:rFonts w:ascii="Times New Roman" w:hAnsi="Times New Roman" w:eastAsia="Times New Roman" w:cs="Times New Roman"/>
                <w:iCs/>
                <w:color w:val="000000"/>
                <w:lang w:val="mn-MN"/>
              </w:rPr>
              <w:t xml:space="preserve"> Жилийн үйл ажиллагааны тайланд СЗХ-ны “</w:t>
            </w:r>
            <w:r>
              <w:fldChar w:fldCharType="begin"/>
            </w:r>
            <w:r>
              <w:instrText xml:space="preserve"> HYPERLINK "http://frc.mn/legal/detail?id=4790" </w:instrText>
            </w:r>
            <w:r>
              <w:fldChar w:fldCharType="separate"/>
            </w:r>
            <w:r>
              <w:rPr>
                <w:rFonts w:ascii="Times New Roman" w:hAnsi="Times New Roman" w:eastAsia="Times New Roman" w:cs="Times New Roman"/>
                <w:iCs/>
                <w:color w:val="0000FF"/>
                <w:u w:val="single"/>
                <w:lang w:val="mn-MN"/>
              </w:rPr>
              <w:t>Үнэт цаас гаргагчийн мэдээллийн ил тод байдлын журам”</w:t>
            </w:r>
            <w:r>
              <w:rPr>
                <w:rFonts w:ascii="Times New Roman" w:hAnsi="Times New Roman" w:eastAsia="Times New Roman" w:cs="Times New Roman"/>
                <w:iCs/>
                <w:color w:val="0000FF"/>
                <w:u w:val="single"/>
                <w:lang w:val="mn-MN"/>
              </w:rPr>
              <w:fldChar w:fldCharType="end"/>
            </w:r>
            <w:r>
              <w:rPr>
                <w:rFonts w:ascii="Times New Roman" w:hAnsi="Times New Roman" w:eastAsia="Times New Roman" w:cs="Times New Roman"/>
                <w:iCs/>
                <w:color w:val="000000"/>
                <w:lang w:val="mn-MN"/>
              </w:rPr>
              <w:t>-ын</w:t>
            </w:r>
            <w:r>
              <w:rPr>
                <w:rFonts w:ascii="Times New Roman" w:hAnsi="Times New Roman" w:eastAsia="Times New Roman" w:cs="Times New Roman"/>
                <w:b/>
                <w:bCs/>
                <w:i/>
                <w:iCs/>
              </w:rPr>
              <w:t xml:space="preserve"> </w:t>
            </w:r>
            <w:r>
              <w:rPr>
                <w:rFonts w:ascii="Times New Roman" w:hAnsi="Times New Roman" w:eastAsia="Times New Roman" w:cs="Times New Roman"/>
                <w:iCs/>
                <w:color w:val="000000"/>
                <w:lang w:val="mn-MN"/>
              </w:rPr>
              <w:t>2.3-т заасан мэдээллийг дээрх дэд сэдвийн хүрээнд бүрэн оруулна. Харин х</w:t>
            </w:r>
            <w:r>
              <w:rPr>
                <w:rFonts w:ascii="Times New Roman" w:hAnsi="Times New Roman" w:eastAsia="Times New Roman" w:cs="Times New Roman"/>
                <w:bCs/>
                <w:iCs/>
                <w:color w:val="000000"/>
                <w:lang w:val="mn-MN"/>
              </w:rPr>
              <w:t xml:space="preserve">агас жилийн үйл ажиллагааны тайланд тус журмын 2.3.1.1-2.3.1.4, 2.3.2.1, 2.3.2.2, 2.3.3.1, 2.3.3.3, 2.3.3.5, 2.3.3.5, 2.3.4.1-2.3.4.3, 2.3.5.2-т заасан мэдээллүүдийг тусгах бөгөөд хөрөнгө оруулагч, хувьцаа эзэмшигчдэд шаардлагатай гэж үзсэн эдгээрээс бусад мэдээллийг тусгаж болно. </w:t>
            </w:r>
          </w:p>
        </w:tc>
      </w:tr>
    </w:tbl>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17430"/>
    <w:multiLevelType w:val="multilevel"/>
    <w:tmpl w:val="2BA17430"/>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32D37349"/>
    <w:multiLevelType w:val="multilevel"/>
    <w:tmpl w:val="32D37349"/>
    <w:lvl w:ilvl="0" w:tentative="0">
      <w:start w:val="2"/>
      <w:numFmt w:val="bullet"/>
      <w:lvlText w:val=""/>
      <w:lvlJc w:val="left"/>
      <w:pPr>
        <w:ind w:left="1080" w:hanging="360"/>
      </w:pPr>
      <w:rPr>
        <w:rFonts w:hint="default" w:ascii="Symbol" w:hAnsi="Symbol"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68816F5C"/>
    <w:multiLevelType w:val="multilevel"/>
    <w:tmpl w:val="68816F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83"/>
    <w:rsid w:val="00004BB9"/>
    <w:rsid w:val="00020A2E"/>
    <w:rsid w:val="0005442C"/>
    <w:rsid w:val="00063200"/>
    <w:rsid w:val="000800EE"/>
    <w:rsid w:val="00095755"/>
    <w:rsid w:val="00097559"/>
    <w:rsid w:val="000B39FB"/>
    <w:rsid w:val="000C2F80"/>
    <w:rsid w:val="000C57CD"/>
    <w:rsid w:val="000D2641"/>
    <w:rsid w:val="000F7139"/>
    <w:rsid w:val="00136373"/>
    <w:rsid w:val="00150334"/>
    <w:rsid w:val="00153BB6"/>
    <w:rsid w:val="00160C38"/>
    <w:rsid w:val="00187E4C"/>
    <w:rsid w:val="001949E3"/>
    <w:rsid w:val="001B5943"/>
    <w:rsid w:val="001B6588"/>
    <w:rsid w:val="001C149A"/>
    <w:rsid w:val="001D2E12"/>
    <w:rsid w:val="00216971"/>
    <w:rsid w:val="0022270C"/>
    <w:rsid w:val="00230E61"/>
    <w:rsid w:val="00236877"/>
    <w:rsid w:val="00241CBA"/>
    <w:rsid w:val="002433EE"/>
    <w:rsid w:val="00265684"/>
    <w:rsid w:val="00282684"/>
    <w:rsid w:val="002C6B37"/>
    <w:rsid w:val="002D6B8A"/>
    <w:rsid w:val="002E4F1F"/>
    <w:rsid w:val="003027EF"/>
    <w:rsid w:val="00303813"/>
    <w:rsid w:val="00314735"/>
    <w:rsid w:val="00333FA5"/>
    <w:rsid w:val="003459A0"/>
    <w:rsid w:val="003502AE"/>
    <w:rsid w:val="00353704"/>
    <w:rsid w:val="00363242"/>
    <w:rsid w:val="00375171"/>
    <w:rsid w:val="0038088B"/>
    <w:rsid w:val="00385FA1"/>
    <w:rsid w:val="00391F70"/>
    <w:rsid w:val="003B789B"/>
    <w:rsid w:val="003D582B"/>
    <w:rsid w:val="003E3ADC"/>
    <w:rsid w:val="00406276"/>
    <w:rsid w:val="00407A24"/>
    <w:rsid w:val="004106C7"/>
    <w:rsid w:val="00417D96"/>
    <w:rsid w:val="00420920"/>
    <w:rsid w:val="004340D7"/>
    <w:rsid w:val="00441DFC"/>
    <w:rsid w:val="00446BC3"/>
    <w:rsid w:val="00463A53"/>
    <w:rsid w:val="0047540E"/>
    <w:rsid w:val="004B26C2"/>
    <w:rsid w:val="004C22F3"/>
    <w:rsid w:val="004D0498"/>
    <w:rsid w:val="004D52D8"/>
    <w:rsid w:val="004D6BFA"/>
    <w:rsid w:val="004E473B"/>
    <w:rsid w:val="004E4F5C"/>
    <w:rsid w:val="004F30A0"/>
    <w:rsid w:val="004F73F7"/>
    <w:rsid w:val="00504C8D"/>
    <w:rsid w:val="00512B4D"/>
    <w:rsid w:val="00516265"/>
    <w:rsid w:val="0053551A"/>
    <w:rsid w:val="0054697E"/>
    <w:rsid w:val="005546AF"/>
    <w:rsid w:val="00555ABA"/>
    <w:rsid w:val="00555F26"/>
    <w:rsid w:val="00571590"/>
    <w:rsid w:val="00596BB7"/>
    <w:rsid w:val="005A4C46"/>
    <w:rsid w:val="005A76FA"/>
    <w:rsid w:val="005B1735"/>
    <w:rsid w:val="005C747F"/>
    <w:rsid w:val="005E56DD"/>
    <w:rsid w:val="005F4746"/>
    <w:rsid w:val="005F6C50"/>
    <w:rsid w:val="00600F95"/>
    <w:rsid w:val="006141F5"/>
    <w:rsid w:val="00636A67"/>
    <w:rsid w:val="00640635"/>
    <w:rsid w:val="0064277F"/>
    <w:rsid w:val="006534C7"/>
    <w:rsid w:val="0065407A"/>
    <w:rsid w:val="00654A4C"/>
    <w:rsid w:val="006746A2"/>
    <w:rsid w:val="00674DBD"/>
    <w:rsid w:val="00680E0F"/>
    <w:rsid w:val="0068528D"/>
    <w:rsid w:val="006A6483"/>
    <w:rsid w:val="006B536A"/>
    <w:rsid w:val="006B603A"/>
    <w:rsid w:val="006C1421"/>
    <w:rsid w:val="006C6AD3"/>
    <w:rsid w:val="006E4B22"/>
    <w:rsid w:val="006F3649"/>
    <w:rsid w:val="00715030"/>
    <w:rsid w:val="0072777F"/>
    <w:rsid w:val="007422E0"/>
    <w:rsid w:val="0075693F"/>
    <w:rsid w:val="00765F00"/>
    <w:rsid w:val="0076628D"/>
    <w:rsid w:val="007B3205"/>
    <w:rsid w:val="007C0300"/>
    <w:rsid w:val="007D1CE2"/>
    <w:rsid w:val="007E4948"/>
    <w:rsid w:val="007E4A77"/>
    <w:rsid w:val="007E7E2D"/>
    <w:rsid w:val="007F1D9C"/>
    <w:rsid w:val="007F2DFC"/>
    <w:rsid w:val="00807192"/>
    <w:rsid w:val="0081079F"/>
    <w:rsid w:val="00817E23"/>
    <w:rsid w:val="00827B4F"/>
    <w:rsid w:val="00836539"/>
    <w:rsid w:val="0083786D"/>
    <w:rsid w:val="00846ABF"/>
    <w:rsid w:val="008611E6"/>
    <w:rsid w:val="008615BA"/>
    <w:rsid w:val="008668C8"/>
    <w:rsid w:val="00880AF9"/>
    <w:rsid w:val="00880E1A"/>
    <w:rsid w:val="0088181F"/>
    <w:rsid w:val="00892A11"/>
    <w:rsid w:val="008B44CA"/>
    <w:rsid w:val="008C119D"/>
    <w:rsid w:val="008C4523"/>
    <w:rsid w:val="008E2E61"/>
    <w:rsid w:val="008F2EEE"/>
    <w:rsid w:val="008F5334"/>
    <w:rsid w:val="00906E1E"/>
    <w:rsid w:val="009076D4"/>
    <w:rsid w:val="00917E74"/>
    <w:rsid w:val="00917FF2"/>
    <w:rsid w:val="00923829"/>
    <w:rsid w:val="0093138D"/>
    <w:rsid w:val="0093532A"/>
    <w:rsid w:val="009A1466"/>
    <w:rsid w:val="009B4DF3"/>
    <w:rsid w:val="009D299E"/>
    <w:rsid w:val="009D6DD1"/>
    <w:rsid w:val="009E4F70"/>
    <w:rsid w:val="009E5131"/>
    <w:rsid w:val="009F095B"/>
    <w:rsid w:val="00A261A5"/>
    <w:rsid w:val="00A4053B"/>
    <w:rsid w:val="00A647D0"/>
    <w:rsid w:val="00A77268"/>
    <w:rsid w:val="00A92FBE"/>
    <w:rsid w:val="00AC476E"/>
    <w:rsid w:val="00B007F3"/>
    <w:rsid w:val="00B07EC5"/>
    <w:rsid w:val="00B359BF"/>
    <w:rsid w:val="00B543CB"/>
    <w:rsid w:val="00B573BB"/>
    <w:rsid w:val="00B61A5F"/>
    <w:rsid w:val="00B639F6"/>
    <w:rsid w:val="00B75BE5"/>
    <w:rsid w:val="00B86832"/>
    <w:rsid w:val="00B96AC9"/>
    <w:rsid w:val="00BB2F94"/>
    <w:rsid w:val="00BC518A"/>
    <w:rsid w:val="00BC5FF9"/>
    <w:rsid w:val="00BF793C"/>
    <w:rsid w:val="00C071B5"/>
    <w:rsid w:val="00C5381A"/>
    <w:rsid w:val="00C96996"/>
    <w:rsid w:val="00CB003D"/>
    <w:rsid w:val="00CB0B1A"/>
    <w:rsid w:val="00CB22DE"/>
    <w:rsid w:val="00CB2486"/>
    <w:rsid w:val="00CB32C0"/>
    <w:rsid w:val="00CC551F"/>
    <w:rsid w:val="00D00140"/>
    <w:rsid w:val="00D139AA"/>
    <w:rsid w:val="00D61909"/>
    <w:rsid w:val="00D87CC1"/>
    <w:rsid w:val="00DA6D9D"/>
    <w:rsid w:val="00DB10F8"/>
    <w:rsid w:val="00DB6328"/>
    <w:rsid w:val="00DD0E97"/>
    <w:rsid w:val="00DD4516"/>
    <w:rsid w:val="00DD4DD7"/>
    <w:rsid w:val="00DE2D17"/>
    <w:rsid w:val="00E05385"/>
    <w:rsid w:val="00E23701"/>
    <w:rsid w:val="00E24AAF"/>
    <w:rsid w:val="00E401DA"/>
    <w:rsid w:val="00E44681"/>
    <w:rsid w:val="00E5123C"/>
    <w:rsid w:val="00E60F83"/>
    <w:rsid w:val="00E67E11"/>
    <w:rsid w:val="00E87215"/>
    <w:rsid w:val="00ED2074"/>
    <w:rsid w:val="00ED24B5"/>
    <w:rsid w:val="00ED3B51"/>
    <w:rsid w:val="00EE2BC2"/>
    <w:rsid w:val="00F066BD"/>
    <w:rsid w:val="00F066E8"/>
    <w:rsid w:val="00F068C1"/>
    <w:rsid w:val="00F34BA6"/>
    <w:rsid w:val="00F36A98"/>
    <w:rsid w:val="00F3720C"/>
    <w:rsid w:val="00F37F0C"/>
    <w:rsid w:val="00F37FD8"/>
    <w:rsid w:val="00F44FD4"/>
    <w:rsid w:val="00F53399"/>
    <w:rsid w:val="00F779E2"/>
    <w:rsid w:val="00F870DD"/>
    <w:rsid w:val="00FA3119"/>
    <w:rsid w:val="00FB6270"/>
    <w:rsid w:val="00FD289E"/>
    <w:rsid w:val="00FD4DF8"/>
    <w:rsid w:val="00FF23B4"/>
    <w:rsid w:val="00FF5BA8"/>
    <w:rsid w:val="0BE00BAE"/>
    <w:rsid w:val="1DC82C3A"/>
    <w:rsid w:val="1ED70AD6"/>
    <w:rsid w:val="51106DC2"/>
    <w:rsid w:val="6C4D511A"/>
    <w:rsid w:val="72ED3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Grid1"/>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856</Characters>
  <Lines>7</Lines>
  <Paragraphs>2</Paragraphs>
  <TotalTime>7</TotalTime>
  <ScaleCrop>false</ScaleCrop>
  <LinksUpToDate>false</LinksUpToDate>
  <CharactersWithSpaces>1004</CharactersWithSpaces>
  <Application>WPS Office_11.2.0.9169_F1E327BC-269C-435d-A152-05C5408002CA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2017-08-07T06:10:00Z</dcterms:created>
  <dc:creator>Маналжав .А</dc:creator>
  <cp:lastModifiedBy>sodoobeu</cp:lastModifiedBy>
  <cp:lastPrinted>2020-03-12T10:45:00Z</cp:lastPrinted>
  <dcterms:modified xsi:type="dcterms:W3CDTF">2020-03-17T04:16:33Z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