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C69B" w14:textId="1844D897" w:rsidR="005F3A6A" w:rsidRPr="006B0BDD" w:rsidRDefault="005A40D1" w:rsidP="005A40D1">
      <w:pPr>
        <w:ind w:left="4962"/>
      </w:pPr>
      <w:r w:rsidRPr="005A40D1">
        <w:rPr>
          <w:rFonts w:eastAsia="Times New Roman" w:cs="Times New Roman"/>
          <w:i/>
          <w:sz w:val="22"/>
        </w:rPr>
        <w:t>Appendix 4 of the "</w:t>
      </w:r>
      <w:r>
        <w:rPr>
          <w:rFonts w:eastAsia="Times New Roman" w:cs="Times New Roman"/>
          <w:i/>
          <w:sz w:val="22"/>
          <w:lang w:val="en-US"/>
        </w:rPr>
        <w:t>Securities Listing Rules</w:t>
      </w:r>
      <w:r w:rsidRPr="005A40D1">
        <w:rPr>
          <w:rFonts w:eastAsia="Times New Roman" w:cs="Times New Roman"/>
          <w:i/>
          <w:sz w:val="22"/>
        </w:rPr>
        <w:t>" approved by Resolution No. 225 dated June 11, 2021</w:t>
      </w:r>
      <w:r>
        <w:rPr>
          <w:rFonts w:eastAsia="Times New Roman" w:cs="Times New Roman"/>
          <w:i/>
          <w:sz w:val="22"/>
        </w:rPr>
        <w:t>,</w:t>
      </w:r>
      <w:r w:rsidRPr="005A40D1">
        <w:rPr>
          <w:rFonts w:eastAsia="Times New Roman" w:cs="Times New Roman"/>
          <w:i/>
          <w:sz w:val="22"/>
        </w:rPr>
        <w:t xml:space="preserve"> of the Financial Regulatory Commission</w:t>
      </w:r>
    </w:p>
    <w:tbl>
      <w:tblPr>
        <w:tblW w:w="10710" w:type="dxa"/>
        <w:tblInd w:w="-635" w:type="dxa"/>
        <w:tblLayout w:type="fixed"/>
        <w:tblLook w:val="04A0" w:firstRow="1" w:lastRow="0" w:firstColumn="1" w:lastColumn="0" w:noHBand="0" w:noVBand="1"/>
      </w:tblPr>
      <w:tblGrid>
        <w:gridCol w:w="848"/>
        <w:gridCol w:w="2302"/>
        <w:gridCol w:w="7560"/>
      </w:tblGrid>
      <w:tr w:rsidR="008B1D5B" w:rsidRPr="00EE516D" w14:paraId="79DF1E73" w14:textId="77777777" w:rsidTr="00433B17">
        <w:trPr>
          <w:trHeight w:val="316"/>
        </w:trPr>
        <w:tc>
          <w:tcPr>
            <w:tcW w:w="10710" w:type="dxa"/>
            <w:gridSpan w:val="3"/>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416925E2" w14:textId="3182C9E8" w:rsidR="008B1D5B" w:rsidRPr="00EE516D" w:rsidRDefault="00C07114" w:rsidP="008B1D5B">
            <w:pPr>
              <w:spacing w:after="0" w:line="240" w:lineRule="auto"/>
              <w:jc w:val="center"/>
              <w:rPr>
                <w:rFonts w:eastAsia="Times New Roman" w:cs="Times New Roman"/>
                <w:i/>
                <w:iCs/>
                <w:color w:val="000000"/>
                <w:sz w:val="22"/>
                <w:lang w:eastAsia="mn-MN"/>
              </w:rPr>
            </w:pPr>
            <w:r>
              <w:rPr>
                <w:rFonts w:eastAsia="Times New Roman" w:cs="Times New Roman"/>
                <w:i/>
                <w:iCs/>
                <w:color w:val="000000"/>
                <w:sz w:val="22"/>
                <w:lang w:val="en-US" w:eastAsia="mn-MN"/>
              </w:rPr>
              <w:t>Annual operational report</w:t>
            </w:r>
            <w:r w:rsidR="008B1D5B" w:rsidRPr="00EE516D">
              <w:rPr>
                <w:rFonts w:eastAsia="Times New Roman" w:cs="Times New Roman"/>
                <w:i/>
                <w:iCs/>
                <w:color w:val="000000"/>
                <w:sz w:val="22"/>
                <w:lang w:eastAsia="mn-MN"/>
              </w:rPr>
              <w:t xml:space="preserve"> /</w:t>
            </w:r>
            <w:r>
              <w:rPr>
                <w:rFonts w:eastAsia="Times New Roman" w:cs="Times New Roman"/>
                <w:i/>
                <w:iCs/>
                <w:color w:val="000000"/>
                <w:sz w:val="22"/>
                <w:lang w:val="en-US" w:eastAsia="mn-MN"/>
              </w:rPr>
              <w:t>Form</w:t>
            </w:r>
            <w:r w:rsidR="008B1D5B" w:rsidRPr="00EE516D">
              <w:rPr>
                <w:rFonts w:eastAsia="Times New Roman" w:cs="Times New Roman"/>
                <w:i/>
                <w:iCs/>
                <w:color w:val="000000"/>
                <w:sz w:val="22"/>
                <w:lang w:eastAsia="mn-MN"/>
              </w:rPr>
              <w:t xml:space="preserve"> 1/</w:t>
            </w:r>
          </w:p>
        </w:tc>
      </w:tr>
      <w:tr w:rsidR="008B1D5B" w:rsidRPr="00EE516D" w14:paraId="3992B68E" w14:textId="77777777" w:rsidTr="00433B17">
        <w:trPr>
          <w:trHeight w:val="1430"/>
        </w:trPr>
        <w:tc>
          <w:tcPr>
            <w:tcW w:w="10710" w:type="dxa"/>
            <w:gridSpan w:val="3"/>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7FA00953" w14:textId="6C98A589" w:rsidR="008B1D5B" w:rsidRPr="00EE516D" w:rsidRDefault="00C07114" w:rsidP="008B1D5B">
            <w:pPr>
              <w:spacing w:after="0" w:line="240" w:lineRule="auto"/>
              <w:rPr>
                <w:rFonts w:eastAsia="Times New Roman" w:cs="Times New Roman"/>
                <w:i/>
                <w:iCs/>
                <w:color w:val="000000"/>
                <w:sz w:val="22"/>
                <w:lang w:eastAsia="mn-MN"/>
              </w:rPr>
            </w:pPr>
            <w:r w:rsidRPr="00C07114">
              <w:rPr>
                <w:rFonts w:eastAsia="Times New Roman" w:cs="Times New Roman"/>
                <w:i/>
                <w:iCs/>
                <w:color w:val="000000"/>
                <w:sz w:val="22"/>
                <w:lang w:eastAsia="mn-MN"/>
              </w:rPr>
              <w:t xml:space="preserve">Article 20 of the Securities Market Law stipulates the ongoing obligations of the issuer, and the issuer is responsible for submitting </w:t>
            </w:r>
            <w:r>
              <w:rPr>
                <w:rFonts w:eastAsia="Times New Roman" w:cs="Times New Roman"/>
                <w:i/>
                <w:iCs/>
                <w:color w:val="000000"/>
                <w:sz w:val="22"/>
                <w:lang w:eastAsia="mn-MN"/>
              </w:rPr>
              <w:t xml:space="preserve">an </w:t>
            </w:r>
            <w:r w:rsidRPr="00C07114">
              <w:rPr>
                <w:rFonts w:eastAsia="Times New Roman" w:cs="Times New Roman"/>
                <w:i/>
                <w:iCs/>
                <w:color w:val="000000"/>
                <w:sz w:val="22"/>
                <w:lang w:eastAsia="mn-MN"/>
              </w:rPr>
              <w:t>annual operational report to the Financial Regulatory Commission and the exchange in accordance with the below form, and shall disclose to the public through its website</w:t>
            </w:r>
            <w:r w:rsidR="008B1D5B" w:rsidRPr="00EE516D">
              <w:rPr>
                <w:rFonts w:eastAsia="Times New Roman" w:cs="Times New Roman"/>
                <w:i/>
                <w:iCs/>
                <w:color w:val="000000"/>
                <w:sz w:val="22"/>
                <w:lang w:eastAsia="mn-MN"/>
              </w:rPr>
              <w:t>.</w:t>
            </w:r>
          </w:p>
        </w:tc>
      </w:tr>
      <w:tr w:rsidR="008B1D5B" w:rsidRPr="00EE516D" w14:paraId="54379E72" w14:textId="77777777" w:rsidTr="00433B17">
        <w:trPr>
          <w:trHeight w:val="260"/>
        </w:trPr>
        <w:tc>
          <w:tcPr>
            <w:tcW w:w="1071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C7233BC" w14:textId="77777777" w:rsidR="008B1D5B" w:rsidRPr="00EE516D" w:rsidRDefault="008B1D5B" w:rsidP="008B1D5B">
            <w:pPr>
              <w:spacing w:after="0" w:line="240" w:lineRule="auto"/>
              <w:rPr>
                <w:rFonts w:eastAsia="Times New Roman" w:cs="Times New Roman"/>
                <w:i/>
                <w:iCs/>
                <w:color w:val="000000"/>
                <w:sz w:val="22"/>
                <w:lang w:eastAsia="mn-MN"/>
              </w:rPr>
            </w:pPr>
            <w:r w:rsidRPr="00EE516D">
              <w:rPr>
                <w:rFonts w:eastAsia="Times New Roman" w:cs="Times New Roman"/>
                <w:i/>
                <w:iCs/>
                <w:color w:val="000000"/>
                <w:sz w:val="22"/>
                <w:lang w:eastAsia="mn-MN"/>
              </w:rPr>
              <w:t> </w:t>
            </w:r>
          </w:p>
        </w:tc>
      </w:tr>
      <w:tr w:rsidR="007F27AC" w:rsidRPr="00EE516D" w14:paraId="533BB41F" w14:textId="77777777" w:rsidTr="00433B17">
        <w:trPr>
          <w:trHeight w:val="1232"/>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74C64B82" w14:textId="63FF4884" w:rsidR="008B1D5B" w:rsidRPr="00EE516D" w:rsidRDefault="00C07114" w:rsidP="00C07114">
            <w:pPr>
              <w:spacing w:after="0" w:line="240" w:lineRule="auto"/>
              <w:ind w:right="285"/>
              <w:rPr>
                <w:rFonts w:eastAsia="Times New Roman" w:cs="Times New Roman"/>
                <w:i/>
                <w:iCs/>
                <w:color w:val="000000"/>
                <w:sz w:val="22"/>
                <w:lang w:eastAsia="mn-MN"/>
              </w:rPr>
            </w:pPr>
            <w:r w:rsidRPr="00C07114">
              <w:rPr>
                <w:rFonts w:eastAsia="Times New Roman" w:cs="Times New Roman"/>
                <w:i/>
                <w:iCs/>
                <w:color w:val="000000"/>
                <w:sz w:val="22"/>
                <w:lang w:eastAsia="mn-MN"/>
              </w:rPr>
              <w:t xml:space="preserve">Issuer’s name, state registration certificate number, securities </w:t>
            </w:r>
            <w:r>
              <w:rPr>
                <w:rFonts w:eastAsia="Times New Roman" w:cs="Times New Roman"/>
                <w:i/>
                <w:iCs/>
                <w:color w:val="000000"/>
                <w:sz w:val="22"/>
                <w:lang w:val="en-US" w:eastAsia="mn-MN"/>
              </w:rPr>
              <w:t>code</w:t>
            </w:r>
            <w:r w:rsidRPr="00C07114">
              <w:rPr>
                <w:rFonts w:eastAsia="Times New Roman" w:cs="Times New Roman"/>
                <w:i/>
                <w:iCs/>
                <w:color w:val="000000"/>
                <w:sz w:val="22"/>
                <w:lang w:eastAsia="mn-MN"/>
              </w:rPr>
              <w:t>, phone number</w:t>
            </w:r>
          </w:p>
        </w:tc>
        <w:tc>
          <w:tcPr>
            <w:tcW w:w="7560" w:type="dxa"/>
            <w:tcBorders>
              <w:top w:val="nil"/>
              <w:left w:val="nil"/>
              <w:bottom w:val="single" w:sz="4" w:space="0" w:color="auto"/>
              <w:right w:val="single" w:sz="4" w:space="0" w:color="auto"/>
            </w:tcBorders>
            <w:shd w:val="clear" w:color="auto" w:fill="auto"/>
            <w:hideMark/>
          </w:tcPr>
          <w:p w14:paraId="06458A17" w14:textId="7BAA5122" w:rsidR="008B1D5B" w:rsidRPr="00C07114" w:rsidRDefault="00C07114" w:rsidP="008B1D5B">
            <w:pPr>
              <w:spacing w:after="0" w:line="240" w:lineRule="auto"/>
              <w:rPr>
                <w:rFonts w:eastAsia="Times New Roman" w:cs="Times New Roman"/>
                <w:color w:val="000000"/>
                <w:sz w:val="22"/>
                <w:lang w:val="en-US" w:eastAsia="mn-MN"/>
              </w:rPr>
            </w:pPr>
            <w:r>
              <w:rPr>
                <w:rFonts w:eastAsia="Times New Roman" w:cs="Times New Roman"/>
                <w:color w:val="000000"/>
                <w:sz w:val="22"/>
                <w:lang w:val="en-US" w:eastAsia="mn-MN"/>
              </w:rPr>
              <w:t>MONGOLIAN STOCK EXCHANGE JSC</w:t>
            </w:r>
          </w:p>
          <w:p w14:paraId="0E6A628E" w14:textId="7893F4E4" w:rsidR="000E6368" w:rsidRPr="00EE516D" w:rsidRDefault="00C07114" w:rsidP="008B1D5B">
            <w:pPr>
              <w:spacing w:after="0" w:line="240" w:lineRule="auto"/>
              <w:rPr>
                <w:rFonts w:eastAsia="Times New Roman" w:cs="Times New Roman"/>
                <w:color w:val="000000"/>
                <w:sz w:val="22"/>
                <w:lang w:eastAsia="mn-MN"/>
              </w:rPr>
            </w:pPr>
            <w:r>
              <w:rPr>
                <w:rFonts w:eastAsia="Times New Roman" w:cs="Times New Roman"/>
                <w:color w:val="000000"/>
                <w:sz w:val="22"/>
                <w:lang w:val="en-US" w:eastAsia="mn-MN"/>
              </w:rPr>
              <w:t>SRCN</w:t>
            </w:r>
            <w:r w:rsidR="000E6368" w:rsidRPr="00EE516D">
              <w:rPr>
                <w:rFonts w:eastAsia="Times New Roman" w:cs="Times New Roman"/>
                <w:color w:val="000000"/>
                <w:sz w:val="22"/>
                <w:lang w:eastAsia="mn-MN"/>
              </w:rPr>
              <w:t>:</w:t>
            </w:r>
            <w:r w:rsidR="00A16373" w:rsidRPr="00EE516D">
              <w:rPr>
                <w:rFonts w:eastAsia="Times New Roman" w:cs="Times New Roman"/>
                <w:color w:val="000000"/>
                <w:sz w:val="22"/>
                <w:lang w:eastAsia="mn-MN"/>
              </w:rPr>
              <w:t>9022001010</w:t>
            </w:r>
            <w:r w:rsidR="00811078" w:rsidRPr="00EE516D">
              <w:rPr>
                <w:rFonts w:eastAsia="Times New Roman" w:cs="Times New Roman"/>
                <w:color w:val="000000"/>
                <w:sz w:val="22"/>
                <w:lang w:eastAsia="mn-MN"/>
              </w:rPr>
              <w:t>,</w:t>
            </w:r>
            <w:r w:rsidR="00A16373" w:rsidRPr="00EE516D">
              <w:rPr>
                <w:rFonts w:eastAsia="Times New Roman" w:cs="Times New Roman"/>
                <w:color w:val="000000"/>
                <w:sz w:val="22"/>
                <w:lang w:eastAsia="mn-MN"/>
              </w:rPr>
              <w:t xml:space="preserve"> </w:t>
            </w:r>
          </w:p>
          <w:p w14:paraId="6D24B913" w14:textId="535C748D" w:rsidR="000E6368" w:rsidRPr="00EE516D" w:rsidRDefault="00C07114" w:rsidP="008B1D5B">
            <w:pPr>
              <w:spacing w:after="0" w:line="240" w:lineRule="auto"/>
              <w:rPr>
                <w:rFonts w:eastAsia="Times New Roman" w:cs="Times New Roman"/>
                <w:color w:val="000000"/>
                <w:sz w:val="22"/>
                <w:lang w:eastAsia="mn-MN"/>
              </w:rPr>
            </w:pPr>
            <w:r>
              <w:rPr>
                <w:rFonts w:eastAsia="Times New Roman" w:cs="Times New Roman"/>
                <w:color w:val="000000"/>
                <w:sz w:val="22"/>
                <w:lang w:val="en-US" w:eastAsia="mn-MN"/>
              </w:rPr>
              <w:t>Securities code</w:t>
            </w:r>
            <w:r w:rsidR="000E6368" w:rsidRPr="00EE516D">
              <w:rPr>
                <w:rFonts w:eastAsia="Times New Roman" w:cs="Times New Roman"/>
                <w:color w:val="000000"/>
                <w:sz w:val="22"/>
                <w:lang w:eastAsia="mn-MN"/>
              </w:rPr>
              <w:t>:</w:t>
            </w:r>
            <w:r w:rsidR="00A16373" w:rsidRPr="00EE516D">
              <w:rPr>
                <w:rFonts w:eastAsia="Times New Roman" w:cs="Times New Roman"/>
                <w:color w:val="000000"/>
                <w:sz w:val="22"/>
                <w:lang w:eastAsia="mn-MN"/>
              </w:rPr>
              <w:t xml:space="preserve">510 </w:t>
            </w:r>
          </w:p>
          <w:p w14:paraId="764BC118" w14:textId="2D0BC1FD" w:rsidR="00811078" w:rsidRPr="00EE516D" w:rsidRDefault="00C07114" w:rsidP="008B1D5B">
            <w:pPr>
              <w:spacing w:after="0" w:line="240" w:lineRule="auto"/>
              <w:rPr>
                <w:rFonts w:eastAsia="Times New Roman" w:cs="Times New Roman"/>
                <w:i/>
                <w:iCs/>
                <w:color w:val="000000"/>
                <w:sz w:val="22"/>
                <w:lang w:eastAsia="mn-MN"/>
              </w:rPr>
            </w:pPr>
            <w:r>
              <w:rPr>
                <w:rFonts w:eastAsia="Times New Roman" w:cs="Times New Roman"/>
                <w:color w:val="000000"/>
                <w:sz w:val="22"/>
                <w:lang w:val="en-US" w:eastAsia="mn-MN"/>
              </w:rPr>
              <w:t>Phone</w:t>
            </w:r>
            <w:r w:rsidR="000E6368" w:rsidRPr="00EE516D">
              <w:rPr>
                <w:rFonts w:eastAsia="Times New Roman" w:cs="Times New Roman"/>
                <w:color w:val="000000"/>
                <w:sz w:val="22"/>
                <w:lang w:eastAsia="mn-MN"/>
              </w:rPr>
              <w:t>: 11-313747</w:t>
            </w:r>
          </w:p>
        </w:tc>
      </w:tr>
      <w:tr w:rsidR="007F27AC" w:rsidRPr="00EE516D" w14:paraId="3D1B0E3C" w14:textId="77777777" w:rsidTr="00C4752A">
        <w:trPr>
          <w:trHeight w:val="593"/>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3479F396" w14:textId="3569AACD" w:rsidR="008B1D5B" w:rsidRPr="00C07114" w:rsidRDefault="00C07114" w:rsidP="008B1D5B">
            <w:pPr>
              <w:spacing w:after="0" w:line="240" w:lineRule="auto"/>
              <w:rPr>
                <w:rFonts w:eastAsia="Times New Roman" w:cs="Times New Roman"/>
                <w:i/>
                <w:iCs/>
                <w:color w:val="000000"/>
                <w:sz w:val="22"/>
                <w:lang w:val="en-US" w:eastAsia="mn-MN"/>
              </w:rPr>
            </w:pPr>
            <w:r>
              <w:rPr>
                <w:rFonts w:eastAsia="Times New Roman" w:cs="Times New Roman"/>
                <w:i/>
                <w:iCs/>
                <w:color w:val="000000"/>
                <w:sz w:val="22"/>
                <w:lang w:val="en-US" w:eastAsia="mn-MN"/>
              </w:rPr>
              <w:t>Name of listed exchange</w:t>
            </w:r>
          </w:p>
        </w:tc>
        <w:tc>
          <w:tcPr>
            <w:tcW w:w="7560" w:type="dxa"/>
            <w:tcBorders>
              <w:top w:val="nil"/>
              <w:left w:val="nil"/>
              <w:bottom w:val="single" w:sz="4" w:space="0" w:color="auto"/>
              <w:right w:val="single" w:sz="4" w:space="0" w:color="auto"/>
            </w:tcBorders>
            <w:shd w:val="clear" w:color="auto" w:fill="auto"/>
            <w:hideMark/>
          </w:tcPr>
          <w:p w14:paraId="458291AA" w14:textId="3AD4C9F1" w:rsidR="008B1D5B" w:rsidRPr="00C07114" w:rsidRDefault="008B1D5B" w:rsidP="008B1D5B">
            <w:pPr>
              <w:spacing w:after="0" w:line="240" w:lineRule="auto"/>
              <w:rPr>
                <w:rFonts w:eastAsia="Times New Roman" w:cs="Times New Roman"/>
                <w:color w:val="000000"/>
                <w:sz w:val="22"/>
                <w:lang w:val="en-US" w:eastAsia="mn-MN"/>
              </w:rPr>
            </w:pPr>
            <w:r w:rsidRPr="00EE516D">
              <w:rPr>
                <w:rFonts w:eastAsia="Times New Roman" w:cs="Times New Roman"/>
                <w:color w:val="000000"/>
                <w:sz w:val="22"/>
                <w:lang w:eastAsia="mn-MN"/>
              </w:rPr>
              <w:t> </w:t>
            </w:r>
            <w:r w:rsidR="00C07114">
              <w:rPr>
                <w:rFonts w:eastAsia="Times New Roman" w:cs="Times New Roman"/>
                <w:color w:val="000000"/>
                <w:sz w:val="22"/>
                <w:lang w:val="en-US" w:eastAsia="mn-MN"/>
              </w:rPr>
              <w:t>Mongolian Stock Exchange JSC</w:t>
            </w:r>
          </w:p>
        </w:tc>
      </w:tr>
      <w:tr w:rsidR="007F27AC" w:rsidRPr="00EE516D" w14:paraId="2287CB7E" w14:textId="77777777" w:rsidTr="00C4752A">
        <w:trPr>
          <w:trHeight w:val="620"/>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51FDE7B7" w14:textId="57885D9C" w:rsidR="008B1D5B" w:rsidRPr="00C07114" w:rsidRDefault="00C07114" w:rsidP="008B1D5B">
            <w:pPr>
              <w:spacing w:after="0" w:line="240" w:lineRule="auto"/>
              <w:rPr>
                <w:rFonts w:eastAsia="Times New Roman" w:cs="Times New Roman"/>
                <w:i/>
                <w:iCs/>
                <w:color w:val="000000"/>
                <w:sz w:val="22"/>
                <w:lang w:val="en-US" w:eastAsia="mn-MN"/>
              </w:rPr>
            </w:pPr>
            <w:r>
              <w:rPr>
                <w:rFonts w:eastAsia="Times New Roman" w:cs="Times New Roman"/>
                <w:i/>
                <w:iCs/>
                <w:color w:val="000000"/>
                <w:sz w:val="22"/>
                <w:lang w:val="en-US" w:eastAsia="mn-MN"/>
              </w:rPr>
              <w:t>The sector of business operation</w:t>
            </w:r>
          </w:p>
        </w:tc>
        <w:tc>
          <w:tcPr>
            <w:tcW w:w="7560" w:type="dxa"/>
            <w:tcBorders>
              <w:top w:val="nil"/>
              <w:left w:val="nil"/>
              <w:bottom w:val="single" w:sz="4" w:space="0" w:color="auto"/>
              <w:right w:val="single" w:sz="4" w:space="0" w:color="auto"/>
            </w:tcBorders>
            <w:shd w:val="clear" w:color="auto" w:fill="auto"/>
            <w:hideMark/>
          </w:tcPr>
          <w:p w14:paraId="14AF421B" w14:textId="1DE1A32F" w:rsidR="008B1D5B" w:rsidRPr="00EE516D" w:rsidRDefault="00C07114" w:rsidP="008B1D5B">
            <w:pPr>
              <w:spacing w:after="0" w:line="240" w:lineRule="auto"/>
              <w:rPr>
                <w:rFonts w:eastAsia="Times New Roman" w:cs="Times New Roman"/>
                <w:color w:val="000000"/>
                <w:sz w:val="22"/>
                <w:lang w:eastAsia="mn-MN"/>
              </w:rPr>
            </w:pPr>
            <w:r w:rsidRPr="00C07114">
              <w:rPr>
                <w:rFonts w:eastAsia="Times New Roman" w:cs="Times New Roman"/>
                <w:color w:val="000000"/>
                <w:sz w:val="22"/>
                <w:lang w:eastAsia="mn-MN"/>
              </w:rPr>
              <w:t>Operating trading of securities in the capital market and selfregulatory organization</w:t>
            </w:r>
          </w:p>
        </w:tc>
      </w:tr>
      <w:tr w:rsidR="007F27AC" w:rsidRPr="00EE516D" w14:paraId="5030034C" w14:textId="77777777" w:rsidTr="00C4752A">
        <w:trPr>
          <w:trHeight w:val="1340"/>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4E9677C4" w14:textId="7BF4E970" w:rsidR="008B1D5B" w:rsidRPr="00EE516D" w:rsidRDefault="00C07114" w:rsidP="008B1D5B">
            <w:pPr>
              <w:spacing w:after="0" w:line="240" w:lineRule="auto"/>
              <w:rPr>
                <w:rFonts w:eastAsia="Times New Roman" w:cs="Times New Roman"/>
                <w:i/>
                <w:iCs/>
                <w:color w:val="000000"/>
                <w:sz w:val="22"/>
                <w:lang w:eastAsia="mn-MN"/>
              </w:rPr>
            </w:pPr>
            <w:r w:rsidRPr="00C07114">
              <w:rPr>
                <w:rFonts w:eastAsia="Times New Roman" w:cs="Times New Roman"/>
                <w:i/>
                <w:iCs/>
                <w:color w:val="000000"/>
                <w:sz w:val="22"/>
                <w:lang w:eastAsia="mn-MN"/>
              </w:rPr>
              <w:t>Name and date of registration of the audit firm registered with the FRC that issued an audit conclusion on the yearend financial statements</w:t>
            </w:r>
          </w:p>
        </w:tc>
        <w:tc>
          <w:tcPr>
            <w:tcW w:w="7560" w:type="dxa"/>
            <w:tcBorders>
              <w:top w:val="nil"/>
              <w:left w:val="nil"/>
              <w:bottom w:val="single" w:sz="4" w:space="0" w:color="auto"/>
              <w:right w:val="single" w:sz="4" w:space="0" w:color="auto"/>
            </w:tcBorders>
            <w:shd w:val="clear" w:color="auto" w:fill="auto"/>
            <w:hideMark/>
          </w:tcPr>
          <w:p w14:paraId="7D7D6F9E" w14:textId="5AAEEEB4" w:rsidR="008B1D5B" w:rsidRPr="00C07114" w:rsidRDefault="001F6FD3" w:rsidP="008B1D5B">
            <w:pPr>
              <w:spacing w:after="0" w:line="240" w:lineRule="auto"/>
              <w:rPr>
                <w:rFonts w:eastAsia="Times New Roman" w:cs="Times New Roman"/>
                <w:color w:val="000000"/>
                <w:sz w:val="22"/>
                <w:lang w:val="en-US" w:eastAsia="mn-MN"/>
              </w:rPr>
            </w:pPr>
            <w:r>
              <w:rPr>
                <w:rFonts w:eastAsia="Times New Roman" w:cs="Times New Roman"/>
                <w:color w:val="000000"/>
                <w:sz w:val="22"/>
                <w:lang w:eastAsia="mn-MN"/>
              </w:rPr>
              <w:t>“</w:t>
            </w:r>
            <w:proofErr w:type="spellStart"/>
            <w:r w:rsidR="00C07114">
              <w:rPr>
                <w:rFonts w:eastAsia="Times New Roman" w:cs="Times New Roman"/>
                <w:color w:val="000000"/>
                <w:sz w:val="22"/>
                <w:lang w:val="en-US" w:eastAsia="mn-MN"/>
              </w:rPr>
              <w:t>Ikhmongol</w:t>
            </w:r>
            <w:proofErr w:type="spellEnd"/>
            <w:r w:rsidR="00C07114">
              <w:rPr>
                <w:rFonts w:eastAsia="Times New Roman" w:cs="Times New Roman"/>
                <w:color w:val="000000"/>
                <w:sz w:val="22"/>
                <w:lang w:val="en-US" w:eastAsia="mn-MN"/>
              </w:rPr>
              <w:t xml:space="preserve"> </w:t>
            </w:r>
            <w:proofErr w:type="spellStart"/>
            <w:r w:rsidR="00C07114">
              <w:rPr>
                <w:rFonts w:eastAsia="Times New Roman" w:cs="Times New Roman"/>
                <w:color w:val="000000"/>
                <w:sz w:val="22"/>
                <w:lang w:val="en-US" w:eastAsia="mn-MN"/>
              </w:rPr>
              <w:t>Khulug</w:t>
            </w:r>
            <w:proofErr w:type="spellEnd"/>
            <w:r w:rsidR="00C07114">
              <w:rPr>
                <w:rFonts w:eastAsia="Times New Roman" w:cs="Times New Roman"/>
                <w:color w:val="000000"/>
                <w:sz w:val="22"/>
                <w:lang w:val="en-US" w:eastAsia="mn-MN"/>
              </w:rPr>
              <w:t xml:space="preserve"> Audit</w:t>
            </w:r>
            <w:r>
              <w:rPr>
                <w:rFonts w:eastAsia="Times New Roman" w:cs="Times New Roman"/>
                <w:color w:val="000000"/>
                <w:sz w:val="22"/>
                <w:lang w:eastAsia="mn-MN"/>
              </w:rPr>
              <w:t xml:space="preserve">” </w:t>
            </w:r>
            <w:r w:rsidR="00C07114">
              <w:rPr>
                <w:rFonts w:eastAsia="Times New Roman" w:cs="Times New Roman"/>
                <w:color w:val="000000"/>
                <w:sz w:val="22"/>
                <w:lang w:val="en-US" w:eastAsia="mn-MN"/>
              </w:rPr>
              <w:t>LLC</w:t>
            </w:r>
          </w:p>
        </w:tc>
      </w:tr>
      <w:tr w:rsidR="007F27AC" w:rsidRPr="00EE516D" w14:paraId="03853FCD" w14:textId="77777777" w:rsidTr="00C4752A">
        <w:trPr>
          <w:trHeight w:val="530"/>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5CFB6109" w14:textId="1AA66965" w:rsidR="008B1D5B" w:rsidRPr="00C07114" w:rsidRDefault="00C07114" w:rsidP="008B1D5B">
            <w:pPr>
              <w:spacing w:after="0" w:line="240" w:lineRule="auto"/>
              <w:rPr>
                <w:rFonts w:eastAsia="Times New Roman" w:cs="Times New Roman"/>
                <w:i/>
                <w:iCs/>
                <w:color w:val="000000"/>
                <w:sz w:val="22"/>
                <w:lang w:val="en-US" w:eastAsia="mn-MN"/>
              </w:rPr>
            </w:pPr>
            <w:r>
              <w:rPr>
                <w:rFonts w:eastAsia="Times New Roman" w:cs="Times New Roman"/>
                <w:i/>
                <w:iCs/>
                <w:color w:val="000000"/>
                <w:sz w:val="22"/>
                <w:lang w:val="en-US" w:eastAsia="mn-MN"/>
              </w:rPr>
              <w:t>Total number of shares issued</w:t>
            </w:r>
          </w:p>
        </w:tc>
        <w:tc>
          <w:tcPr>
            <w:tcW w:w="7560" w:type="dxa"/>
            <w:tcBorders>
              <w:top w:val="nil"/>
              <w:left w:val="nil"/>
              <w:bottom w:val="single" w:sz="4" w:space="0" w:color="auto"/>
              <w:right w:val="single" w:sz="4" w:space="0" w:color="auto"/>
            </w:tcBorders>
            <w:shd w:val="clear" w:color="auto" w:fill="auto"/>
            <w:hideMark/>
          </w:tcPr>
          <w:p w14:paraId="32C67BB9" w14:textId="79A29715" w:rsidR="008B1D5B" w:rsidRPr="00C07114" w:rsidRDefault="00117C92" w:rsidP="008B1D5B">
            <w:pPr>
              <w:spacing w:after="0" w:line="240" w:lineRule="auto"/>
              <w:rPr>
                <w:rFonts w:eastAsia="Times New Roman" w:cs="Times New Roman"/>
                <w:b/>
                <w:bCs/>
                <w:i/>
                <w:iCs/>
                <w:color w:val="000000"/>
                <w:sz w:val="22"/>
                <w:lang w:val="en-US" w:eastAsia="mn-MN"/>
              </w:rPr>
            </w:pPr>
            <w:r w:rsidRPr="00EE516D">
              <w:rPr>
                <w:rStyle w:val="Strong"/>
                <w:rFonts w:cs="Times New Roman"/>
                <w:b w:val="0"/>
                <w:bCs w:val="0"/>
                <w:sz w:val="22"/>
              </w:rPr>
              <w:t>350,463,539</w:t>
            </w:r>
            <w:r w:rsidR="001F6FD3">
              <w:rPr>
                <w:rStyle w:val="Strong"/>
                <w:rFonts w:cs="Times New Roman"/>
                <w:b w:val="0"/>
                <w:bCs w:val="0"/>
                <w:sz w:val="22"/>
              </w:rPr>
              <w:t xml:space="preserve"> </w:t>
            </w:r>
            <w:r w:rsidR="00C07114">
              <w:rPr>
                <w:rStyle w:val="Strong"/>
                <w:rFonts w:cs="Times New Roman"/>
                <w:b w:val="0"/>
                <w:bCs w:val="0"/>
                <w:sz w:val="22"/>
                <w:lang w:val="en-US"/>
              </w:rPr>
              <w:t>units</w:t>
            </w:r>
          </w:p>
        </w:tc>
      </w:tr>
      <w:tr w:rsidR="007F27AC" w:rsidRPr="00EE516D" w14:paraId="20537FC1" w14:textId="77777777" w:rsidTr="00C4752A">
        <w:trPr>
          <w:trHeight w:val="800"/>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29ED5BEA" w14:textId="27EACD53" w:rsidR="008B1D5B" w:rsidRPr="00EE516D" w:rsidRDefault="00C07114" w:rsidP="008B1D5B">
            <w:pPr>
              <w:spacing w:after="0" w:line="240" w:lineRule="auto"/>
              <w:rPr>
                <w:rFonts w:eastAsia="Times New Roman" w:cs="Times New Roman"/>
                <w:i/>
                <w:iCs/>
                <w:color w:val="000000"/>
                <w:sz w:val="22"/>
                <w:lang w:eastAsia="mn-MN"/>
              </w:rPr>
            </w:pPr>
            <w:r w:rsidRPr="00C07114">
              <w:rPr>
                <w:rFonts w:eastAsia="Times New Roman" w:cs="Times New Roman"/>
                <w:i/>
                <w:iCs/>
                <w:color w:val="000000"/>
                <w:sz w:val="22"/>
                <w:lang w:eastAsia="mn-MN"/>
              </w:rPr>
              <w:t>Names of the specialist who prepared and the official who reviewed the annual report</w:t>
            </w:r>
          </w:p>
        </w:tc>
        <w:tc>
          <w:tcPr>
            <w:tcW w:w="7560" w:type="dxa"/>
            <w:tcBorders>
              <w:top w:val="nil"/>
              <w:left w:val="nil"/>
              <w:bottom w:val="single" w:sz="4" w:space="0" w:color="auto"/>
              <w:right w:val="single" w:sz="4" w:space="0" w:color="auto"/>
            </w:tcBorders>
            <w:shd w:val="clear" w:color="auto" w:fill="auto"/>
            <w:hideMark/>
          </w:tcPr>
          <w:p w14:paraId="126147DD" w14:textId="77777777" w:rsidR="005E58DA" w:rsidRPr="00EE516D" w:rsidRDefault="005E58DA" w:rsidP="008B1D5B">
            <w:pPr>
              <w:spacing w:after="0" w:line="240" w:lineRule="auto"/>
              <w:rPr>
                <w:rFonts w:eastAsia="Times New Roman" w:cs="Times New Roman"/>
                <w:i/>
                <w:iCs/>
                <w:color w:val="000000"/>
                <w:sz w:val="22"/>
                <w:lang w:eastAsia="mn-MN"/>
              </w:rPr>
            </w:pPr>
          </w:p>
          <w:p w14:paraId="675E7D72" w14:textId="50487600" w:rsidR="008B1D5B" w:rsidRPr="00EE516D" w:rsidRDefault="00C07114" w:rsidP="008B1D5B">
            <w:pPr>
              <w:spacing w:after="0" w:line="240" w:lineRule="auto"/>
              <w:rPr>
                <w:rFonts w:eastAsia="Times New Roman" w:cs="Times New Roman"/>
                <w:i/>
                <w:iCs/>
                <w:color w:val="000000"/>
                <w:sz w:val="22"/>
                <w:lang w:eastAsia="mn-MN"/>
              </w:rPr>
            </w:pPr>
            <w:proofErr w:type="spellStart"/>
            <w:r>
              <w:rPr>
                <w:rFonts w:eastAsia="Times New Roman" w:cs="Times New Roman"/>
                <w:i/>
                <w:iCs/>
                <w:color w:val="000000"/>
                <w:sz w:val="22"/>
                <w:lang w:val="en-US" w:eastAsia="mn-MN"/>
              </w:rPr>
              <w:t>D.Nyamdorj</w:t>
            </w:r>
            <w:proofErr w:type="spellEnd"/>
            <w:r w:rsidR="00FB4AA4" w:rsidRPr="00EE516D">
              <w:rPr>
                <w:rFonts w:eastAsia="Times New Roman" w:cs="Times New Roman"/>
                <w:i/>
                <w:iCs/>
                <w:color w:val="000000"/>
                <w:sz w:val="22"/>
                <w:lang w:eastAsia="mn-MN"/>
              </w:rPr>
              <w:t xml:space="preserve"> /</w:t>
            </w:r>
            <w:r>
              <w:t xml:space="preserve"> </w:t>
            </w:r>
            <w:r w:rsidRPr="00C07114">
              <w:rPr>
                <w:rFonts w:eastAsia="Times New Roman" w:cs="Times New Roman"/>
                <w:i/>
                <w:iCs/>
                <w:color w:val="000000"/>
                <w:sz w:val="22"/>
                <w:lang w:eastAsia="mn-MN"/>
              </w:rPr>
              <w:t xml:space="preserve">Senior </w:t>
            </w:r>
            <w:r>
              <w:rPr>
                <w:rFonts w:eastAsia="Times New Roman" w:cs="Times New Roman"/>
                <w:i/>
                <w:iCs/>
                <w:color w:val="000000"/>
                <w:sz w:val="22"/>
                <w:lang w:val="en-US" w:eastAsia="mn-MN"/>
              </w:rPr>
              <w:t>Listing</w:t>
            </w:r>
            <w:r w:rsidRPr="00C07114">
              <w:rPr>
                <w:rFonts w:eastAsia="Times New Roman" w:cs="Times New Roman"/>
                <w:i/>
                <w:iCs/>
                <w:color w:val="000000"/>
                <w:sz w:val="22"/>
                <w:lang w:eastAsia="mn-MN"/>
              </w:rPr>
              <w:t xml:space="preserve"> Officer</w:t>
            </w:r>
            <w:r w:rsidRPr="00C07114">
              <w:rPr>
                <w:rFonts w:eastAsia="Times New Roman" w:cs="Times New Roman"/>
                <w:i/>
                <w:iCs/>
                <w:color w:val="000000"/>
                <w:sz w:val="22"/>
                <w:lang w:eastAsia="mn-MN"/>
              </w:rPr>
              <w:t xml:space="preserve"> </w:t>
            </w:r>
            <w:r w:rsidR="00F16C30" w:rsidRPr="00EE516D">
              <w:rPr>
                <w:rFonts w:eastAsia="Times New Roman" w:cs="Times New Roman"/>
                <w:i/>
                <w:iCs/>
                <w:color w:val="000000"/>
                <w:sz w:val="22"/>
                <w:lang w:eastAsia="mn-MN"/>
              </w:rPr>
              <w:t>/</w:t>
            </w:r>
          </w:p>
          <w:p w14:paraId="11EBDB94" w14:textId="178D0561" w:rsidR="00FB4AA4" w:rsidRPr="00EE516D" w:rsidRDefault="00C07114" w:rsidP="008B1D5B">
            <w:pPr>
              <w:spacing w:after="0" w:line="240" w:lineRule="auto"/>
              <w:rPr>
                <w:rFonts w:eastAsia="Times New Roman" w:cs="Times New Roman"/>
                <w:i/>
                <w:iCs/>
                <w:color w:val="000000"/>
                <w:sz w:val="22"/>
                <w:lang w:eastAsia="mn-MN"/>
              </w:rPr>
            </w:pPr>
            <w:proofErr w:type="spellStart"/>
            <w:proofErr w:type="gramStart"/>
            <w:r>
              <w:rPr>
                <w:rFonts w:eastAsia="Times New Roman" w:cs="Times New Roman"/>
                <w:i/>
                <w:iCs/>
                <w:color w:val="000000"/>
                <w:sz w:val="22"/>
                <w:lang w:val="en-US" w:eastAsia="mn-MN"/>
              </w:rPr>
              <w:t>Kh.Erdeneburen</w:t>
            </w:r>
            <w:proofErr w:type="spellEnd"/>
            <w:proofErr w:type="gramEnd"/>
            <w:r w:rsidR="00FB4AA4" w:rsidRPr="00EE516D">
              <w:rPr>
                <w:rFonts w:eastAsia="Times New Roman" w:cs="Times New Roman"/>
                <w:i/>
                <w:iCs/>
                <w:color w:val="000000"/>
                <w:sz w:val="22"/>
                <w:lang w:eastAsia="mn-MN"/>
              </w:rPr>
              <w:t xml:space="preserve"> /</w:t>
            </w:r>
            <w:r>
              <w:rPr>
                <w:rFonts w:eastAsia="Times New Roman" w:cs="Times New Roman"/>
                <w:i/>
                <w:iCs/>
                <w:color w:val="000000"/>
                <w:sz w:val="22"/>
                <w:lang w:val="en-US" w:eastAsia="mn-MN"/>
              </w:rPr>
              <w:t>Chief administration &amp; finance officer</w:t>
            </w:r>
            <w:r w:rsidR="00FB4AA4" w:rsidRPr="00EE516D">
              <w:rPr>
                <w:rFonts w:eastAsia="Times New Roman" w:cs="Times New Roman"/>
                <w:i/>
                <w:iCs/>
                <w:color w:val="000000"/>
                <w:sz w:val="22"/>
                <w:lang w:eastAsia="mn-MN"/>
              </w:rPr>
              <w:t>/</w:t>
            </w:r>
          </w:p>
        </w:tc>
      </w:tr>
      <w:tr w:rsidR="008B1D5B" w:rsidRPr="00EE516D" w14:paraId="3D4DB6C9" w14:textId="77777777" w:rsidTr="00433B17">
        <w:trPr>
          <w:trHeight w:val="656"/>
        </w:trPr>
        <w:tc>
          <w:tcPr>
            <w:tcW w:w="8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58D16D" w14:textId="68EE5534" w:rsidR="008B1D5B" w:rsidRPr="00EE516D" w:rsidRDefault="008B1D5B" w:rsidP="006B0BDD">
            <w:pPr>
              <w:spacing w:after="0" w:line="240" w:lineRule="auto"/>
              <w:jc w:val="center"/>
              <w:rPr>
                <w:rFonts w:eastAsia="Times New Roman" w:cs="Times New Roman"/>
                <w:i/>
                <w:iCs/>
                <w:color w:val="000000"/>
                <w:sz w:val="22"/>
                <w:lang w:eastAsia="mn-MN"/>
              </w:rPr>
            </w:pPr>
            <w:r w:rsidRPr="00EE516D">
              <w:rPr>
                <w:rFonts w:eastAsia="Times New Roman" w:cs="Times New Roman"/>
                <w:i/>
                <w:iCs/>
                <w:color w:val="000000"/>
                <w:sz w:val="22"/>
                <w:lang w:eastAsia="mn-MN"/>
              </w:rPr>
              <w:t>1</w:t>
            </w:r>
            <w:r w:rsidR="006B0BDD" w:rsidRPr="00EE516D">
              <w:rPr>
                <w:rFonts w:eastAsia="Times New Roman" w:cs="Times New Roman"/>
                <w:i/>
                <w:iCs/>
                <w:color w:val="000000"/>
                <w:sz w:val="22"/>
                <w:lang w:eastAsia="mn-MN"/>
              </w:rPr>
              <w:t>.</w:t>
            </w:r>
          </w:p>
        </w:tc>
        <w:tc>
          <w:tcPr>
            <w:tcW w:w="9862"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706712EB" w14:textId="5979A8C5" w:rsidR="008B1D5B" w:rsidRPr="00EE516D" w:rsidRDefault="00C07114" w:rsidP="008B1D5B">
            <w:pPr>
              <w:spacing w:after="0" w:line="240" w:lineRule="auto"/>
              <w:rPr>
                <w:rFonts w:eastAsia="Times New Roman" w:cs="Times New Roman"/>
                <w:i/>
                <w:iCs/>
                <w:color w:val="000000"/>
                <w:sz w:val="22"/>
                <w:lang w:eastAsia="mn-MN"/>
              </w:rPr>
            </w:pPr>
            <w:r w:rsidRPr="00C07114">
              <w:rPr>
                <w:rFonts w:eastAsia="Times New Roman" w:cs="Times New Roman"/>
                <w:i/>
                <w:iCs/>
                <w:color w:val="000000"/>
                <w:sz w:val="22"/>
                <w:lang w:eastAsia="mn-MN"/>
              </w:rPr>
              <w:t>Financial statement for the reporting period /fill out the summary report indicators and attach the financial statement/</w:t>
            </w:r>
          </w:p>
        </w:tc>
      </w:tr>
      <w:tr w:rsidR="006B0BDD" w:rsidRPr="00EE516D" w14:paraId="4B6F282A" w14:textId="77777777" w:rsidTr="00433B17">
        <w:trPr>
          <w:trHeight w:val="421"/>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4133B128" w14:textId="77777777" w:rsidR="00367F84" w:rsidRPr="00EE516D" w:rsidRDefault="00367F84" w:rsidP="00367F84">
            <w:pPr>
              <w:spacing w:after="0" w:line="240" w:lineRule="auto"/>
              <w:jc w:val="center"/>
              <w:rPr>
                <w:rFonts w:eastAsia="Times New Roman" w:cs="Times New Roman"/>
                <w:i/>
                <w:iCs/>
                <w:color w:val="000000"/>
                <w:sz w:val="22"/>
                <w:lang w:eastAsia="mn-MN"/>
              </w:rPr>
            </w:pPr>
            <w:bookmarkStart w:id="0" w:name="_Hlk130915410"/>
            <w:bookmarkStart w:id="1" w:name="_Hlk130915419"/>
          </w:p>
          <w:p w14:paraId="25E7CEF7" w14:textId="77777777" w:rsidR="00367F84" w:rsidRPr="00EE516D" w:rsidRDefault="00367F84" w:rsidP="00367F84">
            <w:pPr>
              <w:spacing w:after="0" w:line="240" w:lineRule="auto"/>
              <w:jc w:val="center"/>
              <w:rPr>
                <w:rFonts w:eastAsia="Times New Roman" w:cs="Times New Roman"/>
                <w:i/>
                <w:iCs/>
                <w:color w:val="000000"/>
                <w:sz w:val="22"/>
                <w:lang w:eastAsia="mn-MN"/>
              </w:rPr>
            </w:pPr>
          </w:p>
          <w:p w14:paraId="75EEF5B7" w14:textId="77777777" w:rsidR="00367F84" w:rsidRPr="00EE516D" w:rsidRDefault="00367F84" w:rsidP="00367F84">
            <w:pPr>
              <w:spacing w:after="0" w:line="240" w:lineRule="auto"/>
              <w:jc w:val="center"/>
              <w:rPr>
                <w:rFonts w:eastAsia="Times New Roman" w:cs="Times New Roman"/>
                <w:i/>
                <w:iCs/>
                <w:color w:val="000000"/>
                <w:sz w:val="22"/>
                <w:lang w:eastAsia="mn-MN"/>
              </w:rPr>
            </w:pPr>
          </w:p>
          <w:p w14:paraId="696A08C5" w14:textId="4559586A" w:rsidR="008B1D5B" w:rsidRPr="00C07114" w:rsidRDefault="00C07114" w:rsidP="00367F84">
            <w:pPr>
              <w:spacing w:after="0" w:line="240" w:lineRule="auto"/>
              <w:jc w:val="center"/>
              <w:rPr>
                <w:rFonts w:eastAsia="Times New Roman" w:cs="Times New Roman"/>
                <w:i/>
                <w:iCs/>
                <w:color w:val="000000"/>
                <w:sz w:val="22"/>
                <w:lang w:val="en-US" w:eastAsia="mn-MN"/>
              </w:rPr>
            </w:pPr>
            <w:r>
              <w:rPr>
                <w:rFonts w:eastAsia="Times New Roman" w:cs="Times New Roman"/>
                <w:i/>
                <w:iCs/>
                <w:color w:val="000000"/>
                <w:sz w:val="22"/>
                <w:lang w:val="en-US" w:eastAsia="mn-MN"/>
              </w:rPr>
              <w:t>Balance sheet</w:t>
            </w:r>
          </w:p>
        </w:tc>
        <w:tc>
          <w:tcPr>
            <w:tcW w:w="7560" w:type="dxa"/>
            <w:tcBorders>
              <w:top w:val="nil"/>
              <w:left w:val="nil"/>
              <w:bottom w:val="single" w:sz="4" w:space="0" w:color="auto"/>
              <w:right w:val="single" w:sz="4" w:space="0" w:color="auto"/>
            </w:tcBorders>
            <w:shd w:val="clear" w:color="auto" w:fill="FFFFFF" w:themeFill="background1"/>
            <w:hideMark/>
          </w:tcPr>
          <w:tbl>
            <w:tblPr>
              <w:tblpPr w:leftFromText="180" w:rightFromText="180" w:vertAnchor="text" w:horzAnchor="page" w:tblpX="725" w:tblpY="-37"/>
              <w:tblOverlap w:val="never"/>
              <w:tblW w:w="6660" w:type="dxa"/>
              <w:tblLayout w:type="fixed"/>
              <w:tblLook w:val="04A0" w:firstRow="1" w:lastRow="0" w:firstColumn="1" w:lastColumn="0" w:noHBand="0" w:noVBand="1"/>
            </w:tblPr>
            <w:tblGrid>
              <w:gridCol w:w="2610"/>
              <w:gridCol w:w="1933"/>
              <w:gridCol w:w="2117"/>
            </w:tblGrid>
            <w:tr w:rsidR="006471D6" w:rsidRPr="00EE516D" w14:paraId="3720C9B3" w14:textId="77777777" w:rsidTr="00144CC4">
              <w:trPr>
                <w:trHeight w:val="362"/>
              </w:trPr>
              <w:tc>
                <w:tcPr>
                  <w:tcW w:w="2610" w:type="dxa"/>
                  <w:tcBorders>
                    <w:top w:val="single" w:sz="4" w:space="0" w:color="auto"/>
                    <w:left w:val="nil"/>
                    <w:bottom w:val="single" w:sz="4" w:space="0" w:color="auto"/>
                    <w:right w:val="nil"/>
                  </w:tcBorders>
                  <w:shd w:val="clear" w:color="000000" w:fill="FFFFFF"/>
                  <w:vAlign w:val="center"/>
                  <w:hideMark/>
                </w:tcPr>
                <w:p w14:paraId="26B90B1D" w14:textId="1C8756D8" w:rsidR="006471D6" w:rsidRPr="00C07114" w:rsidRDefault="00C07114" w:rsidP="006471D6">
                  <w:pPr>
                    <w:spacing w:after="0" w:line="240" w:lineRule="auto"/>
                    <w:jc w:val="center"/>
                    <w:rPr>
                      <w:rFonts w:eastAsia="Times New Roman" w:cs="Times New Roman"/>
                      <w:b/>
                      <w:bCs/>
                      <w:sz w:val="22"/>
                      <w:lang w:val="en-US"/>
                    </w:rPr>
                  </w:pPr>
                  <w:r>
                    <w:rPr>
                      <w:rFonts w:eastAsia="Times New Roman" w:cs="Times New Roman"/>
                      <w:b/>
                      <w:bCs/>
                      <w:sz w:val="22"/>
                      <w:lang w:val="en-US"/>
                    </w:rPr>
                    <w:t>Items</w:t>
                  </w:r>
                </w:p>
              </w:tc>
              <w:tc>
                <w:tcPr>
                  <w:tcW w:w="1933" w:type="dxa"/>
                  <w:tcBorders>
                    <w:top w:val="single" w:sz="4" w:space="0" w:color="auto"/>
                    <w:left w:val="nil"/>
                    <w:bottom w:val="single" w:sz="4" w:space="0" w:color="auto"/>
                    <w:right w:val="nil"/>
                  </w:tcBorders>
                  <w:shd w:val="clear" w:color="000000" w:fill="FFFFFF"/>
                  <w:vAlign w:val="center"/>
                  <w:hideMark/>
                </w:tcPr>
                <w:p w14:paraId="23EC2CF5" w14:textId="18E1C40C" w:rsidR="006471D6" w:rsidRPr="00EE516D" w:rsidRDefault="006471D6" w:rsidP="006471D6">
                  <w:pPr>
                    <w:spacing w:after="0" w:line="240" w:lineRule="auto"/>
                    <w:jc w:val="center"/>
                    <w:rPr>
                      <w:rFonts w:eastAsia="Times New Roman" w:cs="Times New Roman"/>
                      <w:b/>
                      <w:bCs/>
                      <w:sz w:val="22"/>
                    </w:rPr>
                  </w:pPr>
                  <w:r w:rsidRPr="00EE516D">
                    <w:rPr>
                      <w:rFonts w:eastAsia="Times New Roman" w:cs="Times New Roman"/>
                      <w:b/>
                      <w:bCs/>
                      <w:sz w:val="22"/>
                    </w:rPr>
                    <w:t>1/1/202</w:t>
                  </w:r>
                  <w:r w:rsidR="008F3318" w:rsidRPr="00EE516D">
                    <w:rPr>
                      <w:rFonts w:eastAsia="Times New Roman" w:cs="Times New Roman"/>
                      <w:b/>
                      <w:bCs/>
                      <w:sz w:val="22"/>
                    </w:rPr>
                    <w:t>3</w:t>
                  </w:r>
                </w:p>
              </w:tc>
              <w:tc>
                <w:tcPr>
                  <w:tcW w:w="2117" w:type="dxa"/>
                  <w:tcBorders>
                    <w:top w:val="single" w:sz="4" w:space="0" w:color="auto"/>
                    <w:left w:val="nil"/>
                    <w:bottom w:val="single" w:sz="4" w:space="0" w:color="auto"/>
                    <w:right w:val="nil"/>
                  </w:tcBorders>
                  <w:shd w:val="clear" w:color="000000" w:fill="FFFFFF"/>
                  <w:vAlign w:val="center"/>
                  <w:hideMark/>
                </w:tcPr>
                <w:p w14:paraId="3685692E" w14:textId="0989C72F" w:rsidR="006471D6" w:rsidRPr="00EE516D" w:rsidRDefault="006471D6" w:rsidP="006471D6">
                  <w:pPr>
                    <w:spacing w:after="0" w:line="240" w:lineRule="auto"/>
                    <w:jc w:val="center"/>
                    <w:rPr>
                      <w:rFonts w:eastAsia="Times New Roman" w:cs="Times New Roman"/>
                      <w:b/>
                      <w:bCs/>
                      <w:sz w:val="22"/>
                    </w:rPr>
                  </w:pPr>
                  <w:r w:rsidRPr="00EE516D">
                    <w:rPr>
                      <w:rFonts w:eastAsia="Times New Roman" w:cs="Times New Roman"/>
                      <w:b/>
                      <w:bCs/>
                      <w:sz w:val="22"/>
                    </w:rPr>
                    <w:t>12/31/202</w:t>
                  </w:r>
                  <w:r w:rsidR="008F3318" w:rsidRPr="00EE516D">
                    <w:rPr>
                      <w:rFonts w:eastAsia="Times New Roman" w:cs="Times New Roman"/>
                      <w:b/>
                      <w:bCs/>
                      <w:sz w:val="22"/>
                    </w:rPr>
                    <w:t>3</w:t>
                  </w:r>
                </w:p>
              </w:tc>
            </w:tr>
            <w:tr w:rsidR="006471D6" w:rsidRPr="00EE516D" w14:paraId="5F199182" w14:textId="77777777" w:rsidTr="00144CC4">
              <w:trPr>
                <w:trHeight w:val="182"/>
              </w:trPr>
              <w:tc>
                <w:tcPr>
                  <w:tcW w:w="2610" w:type="dxa"/>
                  <w:tcBorders>
                    <w:top w:val="nil"/>
                    <w:left w:val="nil"/>
                    <w:bottom w:val="nil"/>
                    <w:right w:val="nil"/>
                  </w:tcBorders>
                  <w:shd w:val="clear" w:color="auto" w:fill="auto"/>
                  <w:vAlign w:val="center"/>
                  <w:hideMark/>
                </w:tcPr>
                <w:p w14:paraId="7FE6B682" w14:textId="5CDDD2B8" w:rsidR="006471D6" w:rsidRPr="00C07114" w:rsidRDefault="00C07114" w:rsidP="006471D6">
                  <w:pPr>
                    <w:spacing w:after="0" w:line="240" w:lineRule="auto"/>
                    <w:rPr>
                      <w:rFonts w:eastAsia="Times New Roman" w:cs="Times New Roman"/>
                      <w:b/>
                      <w:bCs/>
                      <w:sz w:val="22"/>
                      <w:lang w:val="en-US"/>
                    </w:rPr>
                  </w:pPr>
                  <w:r>
                    <w:rPr>
                      <w:rFonts w:eastAsia="Times New Roman" w:cs="Times New Roman"/>
                      <w:b/>
                      <w:bCs/>
                      <w:sz w:val="22"/>
                      <w:lang w:val="en-US"/>
                    </w:rPr>
                    <w:t>ASSET</w:t>
                  </w:r>
                </w:p>
              </w:tc>
              <w:tc>
                <w:tcPr>
                  <w:tcW w:w="1933" w:type="dxa"/>
                  <w:tcBorders>
                    <w:top w:val="nil"/>
                    <w:left w:val="nil"/>
                    <w:bottom w:val="nil"/>
                    <w:right w:val="nil"/>
                  </w:tcBorders>
                  <w:shd w:val="clear" w:color="auto" w:fill="auto"/>
                  <w:vAlign w:val="center"/>
                  <w:hideMark/>
                </w:tcPr>
                <w:p w14:paraId="50F49B4D" w14:textId="77777777" w:rsidR="006471D6" w:rsidRPr="00EE516D" w:rsidRDefault="006471D6" w:rsidP="006471D6">
                  <w:pPr>
                    <w:spacing w:after="0" w:line="240" w:lineRule="auto"/>
                    <w:jc w:val="center"/>
                    <w:rPr>
                      <w:rFonts w:eastAsia="Times New Roman" w:cs="Times New Roman"/>
                      <w:b/>
                      <w:bCs/>
                      <w:sz w:val="22"/>
                    </w:rPr>
                  </w:pPr>
                </w:p>
              </w:tc>
              <w:tc>
                <w:tcPr>
                  <w:tcW w:w="2117" w:type="dxa"/>
                  <w:tcBorders>
                    <w:top w:val="nil"/>
                    <w:left w:val="nil"/>
                    <w:bottom w:val="nil"/>
                    <w:right w:val="nil"/>
                  </w:tcBorders>
                  <w:shd w:val="clear" w:color="auto" w:fill="auto"/>
                  <w:vAlign w:val="center"/>
                  <w:hideMark/>
                </w:tcPr>
                <w:p w14:paraId="52F6BF66" w14:textId="77777777" w:rsidR="006471D6" w:rsidRPr="00EE516D" w:rsidRDefault="006471D6" w:rsidP="006471D6">
                  <w:pPr>
                    <w:spacing w:after="0" w:line="240" w:lineRule="auto"/>
                    <w:jc w:val="center"/>
                    <w:rPr>
                      <w:rFonts w:eastAsia="Times New Roman" w:cs="Times New Roman"/>
                      <w:sz w:val="22"/>
                    </w:rPr>
                  </w:pPr>
                </w:p>
              </w:tc>
            </w:tr>
            <w:tr w:rsidR="006471D6" w:rsidRPr="00EE516D" w14:paraId="338C27ED" w14:textId="77777777" w:rsidTr="00144CC4">
              <w:trPr>
                <w:trHeight w:val="160"/>
              </w:trPr>
              <w:tc>
                <w:tcPr>
                  <w:tcW w:w="2610" w:type="dxa"/>
                  <w:tcBorders>
                    <w:top w:val="nil"/>
                    <w:left w:val="nil"/>
                    <w:bottom w:val="nil"/>
                    <w:right w:val="nil"/>
                  </w:tcBorders>
                  <w:shd w:val="clear" w:color="auto" w:fill="auto"/>
                  <w:vAlign w:val="center"/>
                  <w:hideMark/>
                </w:tcPr>
                <w:p w14:paraId="72EFFFD1" w14:textId="11434A88" w:rsidR="006471D6" w:rsidRPr="00C07114" w:rsidRDefault="00C07114" w:rsidP="006471D6">
                  <w:pPr>
                    <w:spacing w:after="0" w:line="240" w:lineRule="auto"/>
                    <w:rPr>
                      <w:rFonts w:eastAsia="Times New Roman" w:cs="Times New Roman"/>
                      <w:sz w:val="22"/>
                      <w:lang w:val="en-US"/>
                    </w:rPr>
                  </w:pPr>
                  <w:r>
                    <w:rPr>
                      <w:rFonts w:eastAsia="Times New Roman" w:cs="Times New Roman"/>
                      <w:sz w:val="22"/>
                      <w:lang w:val="en-US"/>
                    </w:rPr>
                    <w:t>Current asset</w:t>
                  </w:r>
                </w:p>
              </w:tc>
              <w:tc>
                <w:tcPr>
                  <w:tcW w:w="1933" w:type="dxa"/>
                  <w:tcBorders>
                    <w:top w:val="nil"/>
                    <w:left w:val="nil"/>
                    <w:bottom w:val="nil"/>
                    <w:right w:val="nil"/>
                  </w:tcBorders>
                  <w:shd w:val="clear" w:color="auto" w:fill="auto"/>
                  <w:vAlign w:val="center"/>
                  <w:hideMark/>
                </w:tcPr>
                <w:p w14:paraId="7C35DBB9" w14:textId="19DEB122" w:rsidR="006471D6" w:rsidRPr="00EE516D" w:rsidRDefault="001B1B6B" w:rsidP="00C4752A">
                  <w:pPr>
                    <w:spacing w:after="0" w:line="240" w:lineRule="auto"/>
                    <w:jc w:val="center"/>
                    <w:rPr>
                      <w:rFonts w:eastAsia="Times New Roman" w:cs="Times New Roman"/>
                      <w:sz w:val="22"/>
                    </w:rPr>
                  </w:pPr>
                  <w:r w:rsidRPr="00EE516D">
                    <w:rPr>
                      <w:rFonts w:eastAsia="Times New Roman" w:cs="Times New Roman"/>
                      <w:sz w:val="22"/>
                    </w:rPr>
                    <w:t>2,296,778,319.6</w:t>
                  </w:r>
                  <w:r w:rsidR="001F6FD3">
                    <w:rPr>
                      <w:rFonts w:eastAsia="Times New Roman" w:cs="Times New Roman"/>
                      <w:sz w:val="22"/>
                    </w:rPr>
                    <w:t>4</w:t>
                  </w:r>
                </w:p>
              </w:tc>
              <w:tc>
                <w:tcPr>
                  <w:tcW w:w="2117" w:type="dxa"/>
                  <w:tcBorders>
                    <w:top w:val="nil"/>
                    <w:left w:val="nil"/>
                    <w:bottom w:val="nil"/>
                    <w:right w:val="nil"/>
                  </w:tcBorders>
                  <w:shd w:val="clear" w:color="auto" w:fill="auto"/>
                  <w:vAlign w:val="center"/>
                </w:tcPr>
                <w:p w14:paraId="393B5081" w14:textId="20D8DBBA" w:rsidR="006471D6" w:rsidRPr="00EE516D" w:rsidRDefault="00144CC4" w:rsidP="00C4752A">
                  <w:pPr>
                    <w:spacing w:after="0" w:line="240" w:lineRule="auto"/>
                    <w:jc w:val="center"/>
                    <w:rPr>
                      <w:rFonts w:eastAsia="Times New Roman" w:cs="Times New Roman"/>
                      <w:sz w:val="22"/>
                    </w:rPr>
                  </w:pPr>
                  <w:r w:rsidRPr="00EE516D">
                    <w:rPr>
                      <w:rFonts w:eastAsia="Times New Roman" w:cs="Times New Roman"/>
                      <w:sz w:val="22"/>
                    </w:rPr>
                    <w:t>904,842,895,157.05</w:t>
                  </w:r>
                </w:p>
              </w:tc>
            </w:tr>
            <w:tr w:rsidR="00144CC4" w:rsidRPr="00EE516D" w14:paraId="548E2B7A" w14:textId="77777777" w:rsidTr="00144CC4">
              <w:trPr>
                <w:trHeight w:val="160"/>
              </w:trPr>
              <w:tc>
                <w:tcPr>
                  <w:tcW w:w="2610" w:type="dxa"/>
                  <w:tcBorders>
                    <w:top w:val="nil"/>
                    <w:left w:val="nil"/>
                    <w:bottom w:val="nil"/>
                    <w:right w:val="nil"/>
                  </w:tcBorders>
                  <w:shd w:val="clear" w:color="auto" w:fill="auto"/>
                  <w:vAlign w:val="center"/>
                  <w:hideMark/>
                </w:tcPr>
                <w:p w14:paraId="22E47861" w14:textId="1A44C499" w:rsidR="00144CC4" w:rsidRPr="00C07114" w:rsidRDefault="00C07114" w:rsidP="00144CC4">
                  <w:pPr>
                    <w:spacing w:after="0" w:line="240" w:lineRule="auto"/>
                    <w:rPr>
                      <w:rFonts w:eastAsia="Times New Roman" w:cs="Times New Roman"/>
                      <w:sz w:val="22"/>
                      <w:lang w:val="en-US"/>
                    </w:rPr>
                  </w:pPr>
                  <w:r>
                    <w:rPr>
                      <w:rFonts w:eastAsia="Times New Roman" w:cs="Times New Roman"/>
                      <w:sz w:val="22"/>
                      <w:lang w:val="en-US"/>
                    </w:rPr>
                    <w:t>Non-current asset</w:t>
                  </w:r>
                </w:p>
              </w:tc>
              <w:tc>
                <w:tcPr>
                  <w:tcW w:w="1933" w:type="dxa"/>
                  <w:tcBorders>
                    <w:top w:val="nil"/>
                    <w:left w:val="nil"/>
                    <w:bottom w:val="nil"/>
                    <w:right w:val="nil"/>
                  </w:tcBorders>
                  <w:shd w:val="clear" w:color="auto" w:fill="auto"/>
                  <w:vAlign w:val="center"/>
                  <w:hideMark/>
                </w:tcPr>
                <w:p w14:paraId="31EAED71" w14:textId="0F66AEEB" w:rsidR="00144CC4" w:rsidRPr="00EE516D" w:rsidRDefault="00144CC4" w:rsidP="00C4752A">
                  <w:pPr>
                    <w:spacing w:after="0" w:line="240" w:lineRule="auto"/>
                    <w:jc w:val="center"/>
                    <w:rPr>
                      <w:rFonts w:eastAsia="Times New Roman" w:cs="Times New Roman"/>
                      <w:sz w:val="22"/>
                    </w:rPr>
                  </w:pPr>
                  <w:r w:rsidRPr="00EE516D">
                    <w:rPr>
                      <w:rFonts w:eastAsia="Times New Roman" w:cs="Times New Roman"/>
                      <w:sz w:val="22"/>
                    </w:rPr>
                    <w:t>23,184,922,418.26</w:t>
                  </w:r>
                </w:p>
              </w:tc>
              <w:tc>
                <w:tcPr>
                  <w:tcW w:w="2117" w:type="dxa"/>
                  <w:tcBorders>
                    <w:top w:val="nil"/>
                    <w:left w:val="nil"/>
                    <w:bottom w:val="nil"/>
                    <w:right w:val="nil"/>
                  </w:tcBorders>
                  <w:shd w:val="clear" w:color="auto" w:fill="auto"/>
                  <w:vAlign w:val="center"/>
                </w:tcPr>
                <w:p w14:paraId="1CA3D77A" w14:textId="2BB75B2B" w:rsidR="00144CC4" w:rsidRPr="00EE516D" w:rsidRDefault="00B31C23" w:rsidP="00C4752A">
                  <w:pPr>
                    <w:spacing w:after="0" w:line="240" w:lineRule="auto"/>
                    <w:jc w:val="center"/>
                    <w:rPr>
                      <w:rFonts w:eastAsia="Times New Roman" w:cs="Times New Roman"/>
                      <w:sz w:val="22"/>
                    </w:rPr>
                  </w:pPr>
                  <w:r w:rsidRPr="00EE516D">
                    <w:rPr>
                      <w:rFonts w:eastAsia="Times New Roman" w:cs="Times New Roman"/>
                      <w:sz w:val="22"/>
                    </w:rPr>
                    <w:t>22,452,015,473.10</w:t>
                  </w:r>
                </w:p>
              </w:tc>
            </w:tr>
            <w:tr w:rsidR="00144CC4" w:rsidRPr="00EE516D" w14:paraId="586C10F6" w14:textId="77777777" w:rsidTr="00144CC4">
              <w:trPr>
                <w:trHeight w:val="160"/>
              </w:trPr>
              <w:tc>
                <w:tcPr>
                  <w:tcW w:w="2610" w:type="dxa"/>
                  <w:tcBorders>
                    <w:top w:val="nil"/>
                    <w:left w:val="nil"/>
                    <w:bottom w:val="nil"/>
                    <w:right w:val="nil"/>
                  </w:tcBorders>
                  <w:shd w:val="clear" w:color="auto" w:fill="auto"/>
                  <w:vAlign w:val="center"/>
                  <w:hideMark/>
                </w:tcPr>
                <w:p w14:paraId="6D26BE16" w14:textId="0B3EB2C2" w:rsidR="00144CC4" w:rsidRPr="00C07114" w:rsidRDefault="00C07114" w:rsidP="00144CC4">
                  <w:pPr>
                    <w:spacing w:after="0" w:line="240" w:lineRule="auto"/>
                    <w:rPr>
                      <w:rFonts w:eastAsia="Times New Roman" w:cs="Times New Roman"/>
                      <w:b/>
                      <w:bCs/>
                      <w:sz w:val="22"/>
                      <w:lang w:val="en-US"/>
                    </w:rPr>
                  </w:pPr>
                  <w:r>
                    <w:rPr>
                      <w:rFonts w:eastAsia="Times New Roman" w:cs="Times New Roman"/>
                      <w:b/>
                      <w:bCs/>
                      <w:sz w:val="22"/>
                      <w:lang w:val="en-US"/>
                    </w:rPr>
                    <w:t>TOTAL ASSETS</w:t>
                  </w:r>
                </w:p>
              </w:tc>
              <w:tc>
                <w:tcPr>
                  <w:tcW w:w="1933" w:type="dxa"/>
                  <w:tcBorders>
                    <w:top w:val="nil"/>
                    <w:left w:val="nil"/>
                    <w:bottom w:val="nil"/>
                    <w:right w:val="nil"/>
                  </w:tcBorders>
                  <w:shd w:val="clear" w:color="auto" w:fill="auto"/>
                  <w:vAlign w:val="center"/>
                  <w:hideMark/>
                </w:tcPr>
                <w:p w14:paraId="025738DF" w14:textId="5F844992" w:rsidR="00144CC4" w:rsidRPr="00EE516D" w:rsidRDefault="00144CC4" w:rsidP="00C4752A">
                  <w:pPr>
                    <w:spacing w:after="0" w:line="240" w:lineRule="auto"/>
                    <w:jc w:val="center"/>
                    <w:rPr>
                      <w:rFonts w:eastAsia="Times New Roman" w:cs="Times New Roman"/>
                      <w:b/>
                      <w:bCs/>
                      <w:sz w:val="22"/>
                    </w:rPr>
                  </w:pPr>
                  <w:r w:rsidRPr="00EE516D">
                    <w:rPr>
                      <w:rFonts w:eastAsia="Times New Roman" w:cs="Times New Roman"/>
                      <w:b/>
                      <w:bCs/>
                      <w:sz w:val="22"/>
                    </w:rPr>
                    <w:t>25,481,700,737.9</w:t>
                  </w:r>
                  <w:r w:rsidR="001F6FD3">
                    <w:rPr>
                      <w:rFonts w:eastAsia="Times New Roman" w:cs="Times New Roman"/>
                      <w:b/>
                      <w:bCs/>
                      <w:sz w:val="22"/>
                    </w:rPr>
                    <w:t>0</w:t>
                  </w:r>
                </w:p>
              </w:tc>
              <w:tc>
                <w:tcPr>
                  <w:tcW w:w="2117" w:type="dxa"/>
                  <w:tcBorders>
                    <w:top w:val="nil"/>
                    <w:left w:val="nil"/>
                    <w:bottom w:val="nil"/>
                    <w:right w:val="nil"/>
                  </w:tcBorders>
                  <w:shd w:val="clear" w:color="auto" w:fill="auto"/>
                  <w:vAlign w:val="center"/>
                </w:tcPr>
                <w:p w14:paraId="672D859F" w14:textId="6C20BD9D" w:rsidR="00144CC4" w:rsidRPr="00EE516D" w:rsidRDefault="00B31C23" w:rsidP="00C4752A">
                  <w:pPr>
                    <w:spacing w:after="0" w:line="240" w:lineRule="auto"/>
                    <w:jc w:val="center"/>
                    <w:rPr>
                      <w:rFonts w:eastAsia="Times New Roman" w:cs="Times New Roman"/>
                      <w:b/>
                      <w:bCs/>
                      <w:sz w:val="22"/>
                    </w:rPr>
                  </w:pPr>
                  <w:r w:rsidRPr="00EE516D">
                    <w:rPr>
                      <w:rFonts w:eastAsia="Times New Roman" w:cs="Times New Roman"/>
                      <w:b/>
                      <w:bCs/>
                      <w:sz w:val="22"/>
                    </w:rPr>
                    <w:t>927,294,910,630.15</w:t>
                  </w:r>
                </w:p>
              </w:tc>
            </w:tr>
            <w:tr w:rsidR="00144CC4" w:rsidRPr="00EE516D" w14:paraId="20A16C15" w14:textId="77777777" w:rsidTr="00144CC4">
              <w:trPr>
                <w:trHeight w:val="160"/>
              </w:trPr>
              <w:tc>
                <w:tcPr>
                  <w:tcW w:w="2610" w:type="dxa"/>
                  <w:tcBorders>
                    <w:top w:val="nil"/>
                    <w:left w:val="nil"/>
                    <w:bottom w:val="nil"/>
                    <w:right w:val="nil"/>
                  </w:tcBorders>
                  <w:shd w:val="clear" w:color="auto" w:fill="auto"/>
                  <w:vAlign w:val="center"/>
                  <w:hideMark/>
                </w:tcPr>
                <w:p w14:paraId="44D382EF" w14:textId="46C8B800" w:rsidR="00144CC4" w:rsidRPr="00C07114" w:rsidRDefault="00446FFE" w:rsidP="00144CC4">
                  <w:pPr>
                    <w:spacing w:after="0" w:line="240" w:lineRule="auto"/>
                    <w:rPr>
                      <w:rFonts w:eastAsia="Times New Roman" w:cs="Times New Roman"/>
                      <w:b/>
                      <w:bCs/>
                      <w:sz w:val="22"/>
                      <w:lang w:val="en-US"/>
                    </w:rPr>
                  </w:pPr>
                  <w:r>
                    <w:rPr>
                      <w:rFonts w:eastAsia="Times New Roman" w:cs="Times New Roman"/>
                      <w:b/>
                      <w:bCs/>
                      <w:sz w:val="22"/>
                      <w:lang w:val="en-US"/>
                    </w:rPr>
                    <w:t>LIABILITIES</w:t>
                  </w:r>
                  <w:r w:rsidR="00C07114">
                    <w:rPr>
                      <w:rFonts w:eastAsia="Times New Roman" w:cs="Times New Roman"/>
                      <w:b/>
                      <w:bCs/>
                      <w:sz w:val="22"/>
                      <w:lang w:val="en-US"/>
                    </w:rPr>
                    <w:t xml:space="preserve"> AND EQUITY</w:t>
                  </w:r>
                </w:p>
              </w:tc>
              <w:tc>
                <w:tcPr>
                  <w:tcW w:w="1933" w:type="dxa"/>
                  <w:tcBorders>
                    <w:top w:val="nil"/>
                    <w:left w:val="nil"/>
                    <w:bottom w:val="nil"/>
                    <w:right w:val="nil"/>
                  </w:tcBorders>
                  <w:shd w:val="clear" w:color="auto" w:fill="auto"/>
                  <w:vAlign w:val="center"/>
                  <w:hideMark/>
                </w:tcPr>
                <w:p w14:paraId="0152F54D" w14:textId="77777777" w:rsidR="00144CC4" w:rsidRPr="00EE516D" w:rsidRDefault="00144CC4" w:rsidP="00144CC4">
                  <w:pPr>
                    <w:spacing w:after="0" w:line="240" w:lineRule="auto"/>
                    <w:jc w:val="right"/>
                    <w:rPr>
                      <w:rFonts w:eastAsia="Times New Roman" w:cs="Times New Roman"/>
                      <w:b/>
                      <w:bCs/>
                      <w:sz w:val="22"/>
                    </w:rPr>
                  </w:pPr>
                </w:p>
              </w:tc>
              <w:tc>
                <w:tcPr>
                  <w:tcW w:w="2117" w:type="dxa"/>
                  <w:tcBorders>
                    <w:top w:val="nil"/>
                    <w:left w:val="nil"/>
                    <w:bottom w:val="nil"/>
                    <w:right w:val="nil"/>
                  </w:tcBorders>
                  <w:shd w:val="clear" w:color="auto" w:fill="auto"/>
                  <w:vAlign w:val="center"/>
                </w:tcPr>
                <w:p w14:paraId="669942B8" w14:textId="77777777" w:rsidR="00144CC4" w:rsidRPr="00EE516D" w:rsidRDefault="00144CC4" w:rsidP="00144CC4">
                  <w:pPr>
                    <w:spacing w:after="0" w:line="240" w:lineRule="auto"/>
                    <w:jc w:val="right"/>
                    <w:rPr>
                      <w:rFonts w:eastAsia="Times New Roman" w:cs="Times New Roman"/>
                      <w:sz w:val="22"/>
                    </w:rPr>
                  </w:pPr>
                </w:p>
              </w:tc>
            </w:tr>
            <w:tr w:rsidR="00144CC4" w:rsidRPr="00EE516D" w14:paraId="1FA7CDE7" w14:textId="77777777" w:rsidTr="00144CC4">
              <w:trPr>
                <w:trHeight w:val="160"/>
              </w:trPr>
              <w:tc>
                <w:tcPr>
                  <w:tcW w:w="2610" w:type="dxa"/>
                  <w:tcBorders>
                    <w:top w:val="nil"/>
                    <w:left w:val="nil"/>
                    <w:bottom w:val="nil"/>
                    <w:right w:val="nil"/>
                  </w:tcBorders>
                  <w:shd w:val="clear" w:color="auto" w:fill="auto"/>
                  <w:vAlign w:val="center"/>
                  <w:hideMark/>
                </w:tcPr>
                <w:p w14:paraId="6BBC1B65" w14:textId="1B75D316" w:rsidR="00144CC4" w:rsidRPr="00C07114" w:rsidRDefault="00C07114" w:rsidP="00144CC4">
                  <w:pPr>
                    <w:spacing w:after="0" w:line="240" w:lineRule="auto"/>
                    <w:rPr>
                      <w:rFonts w:eastAsia="Times New Roman" w:cs="Times New Roman"/>
                      <w:sz w:val="22"/>
                      <w:lang w:val="en-US"/>
                    </w:rPr>
                  </w:pPr>
                  <w:r>
                    <w:rPr>
                      <w:rFonts w:eastAsia="Times New Roman" w:cs="Times New Roman"/>
                      <w:sz w:val="22"/>
                      <w:lang w:val="en-US"/>
                    </w:rPr>
                    <w:t>Short term liability</w:t>
                  </w:r>
                </w:p>
              </w:tc>
              <w:tc>
                <w:tcPr>
                  <w:tcW w:w="1933" w:type="dxa"/>
                  <w:tcBorders>
                    <w:top w:val="nil"/>
                    <w:left w:val="nil"/>
                    <w:bottom w:val="nil"/>
                    <w:right w:val="nil"/>
                  </w:tcBorders>
                  <w:shd w:val="clear" w:color="auto" w:fill="auto"/>
                  <w:vAlign w:val="center"/>
                  <w:hideMark/>
                </w:tcPr>
                <w:p w14:paraId="2A73F39E" w14:textId="6143DA61" w:rsidR="00144CC4" w:rsidRPr="00EE516D" w:rsidRDefault="00144CC4" w:rsidP="00144CC4">
                  <w:pPr>
                    <w:spacing w:after="0" w:line="240" w:lineRule="auto"/>
                    <w:jc w:val="right"/>
                    <w:rPr>
                      <w:rFonts w:eastAsia="Times New Roman" w:cs="Times New Roman"/>
                      <w:sz w:val="22"/>
                    </w:rPr>
                  </w:pPr>
                  <w:r w:rsidRPr="00EE516D">
                    <w:rPr>
                      <w:rFonts w:eastAsia="Times New Roman" w:cs="Times New Roman"/>
                      <w:sz w:val="22"/>
                    </w:rPr>
                    <w:t>998,657,547.96</w:t>
                  </w:r>
                </w:p>
              </w:tc>
              <w:tc>
                <w:tcPr>
                  <w:tcW w:w="2117" w:type="dxa"/>
                  <w:tcBorders>
                    <w:top w:val="nil"/>
                    <w:left w:val="nil"/>
                    <w:bottom w:val="nil"/>
                    <w:right w:val="nil"/>
                  </w:tcBorders>
                  <w:shd w:val="clear" w:color="auto" w:fill="auto"/>
                  <w:vAlign w:val="center"/>
                </w:tcPr>
                <w:p w14:paraId="3D55CD0A" w14:textId="5A95A05D" w:rsidR="00144CC4" w:rsidRPr="00EE516D" w:rsidRDefault="00B31C23" w:rsidP="00144CC4">
                  <w:pPr>
                    <w:spacing w:after="0" w:line="240" w:lineRule="auto"/>
                    <w:jc w:val="right"/>
                    <w:rPr>
                      <w:rFonts w:eastAsia="Times New Roman" w:cs="Times New Roman"/>
                      <w:sz w:val="22"/>
                    </w:rPr>
                  </w:pPr>
                  <w:r w:rsidRPr="00EE516D">
                    <w:rPr>
                      <w:rFonts w:eastAsia="Times New Roman" w:cs="Times New Roman"/>
                      <w:sz w:val="22"/>
                    </w:rPr>
                    <w:t>881,588,538,249.72</w:t>
                  </w:r>
                </w:p>
              </w:tc>
            </w:tr>
            <w:tr w:rsidR="00144CC4" w:rsidRPr="00EE516D" w14:paraId="4D5280F9" w14:textId="77777777" w:rsidTr="00144CC4">
              <w:trPr>
                <w:trHeight w:val="160"/>
              </w:trPr>
              <w:tc>
                <w:tcPr>
                  <w:tcW w:w="2610" w:type="dxa"/>
                  <w:tcBorders>
                    <w:top w:val="nil"/>
                    <w:left w:val="nil"/>
                    <w:bottom w:val="nil"/>
                    <w:right w:val="nil"/>
                  </w:tcBorders>
                  <w:shd w:val="clear" w:color="auto" w:fill="auto"/>
                  <w:vAlign w:val="center"/>
                  <w:hideMark/>
                </w:tcPr>
                <w:p w14:paraId="0392E586" w14:textId="237887EB" w:rsidR="00144CC4" w:rsidRPr="00C07114" w:rsidRDefault="00C07114" w:rsidP="00144CC4">
                  <w:pPr>
                    <w:spacing w:after="0" w:line="240" w:lineRule="auto"/>
                    <w:rPr>
                      <w:rFonts w:eastAsia="Times New Roman" w:cs="Times New Roman"/>
                      <w:sz w:val="22"/>
                      <w:lang w:val="en-US"/>
                    </w:rPr>
                  </w:pPr>
                  <w:r>
                    <w:rPr>
                      <w:rFonts w:eastAsia="Times New Roman" w:cs="Times New Roman"/>
                      <w:sz w:val="22"/>
                      <w:lang w:val="en-US"/>
                    </w:rPr>
                    <w:t>Long term liability</w:t>
                  </w:r>
                </w:p>
              </w:tc>
              <w:tc>
                <w:tcPr>
                  <w:tcW w:w="1933" w:type="dxa"/>
                  <w:tcBorders>
                    <w:top w:val="nil"/>
                    <w:left w:val="nil"/>
                    <w:bottom w:val="nil"/>
                    <w:right w:val="nil"/>
                  </w:tcBorders>
                  <w:shd w:val="clear" w:color="auto" w:fill="auto"/>
                  <w:vAlign w:val="center"/>
                  <w:hideMark/>
                </w:tcPr>
                <w:p w14:paraId="357BE78C" w14:textId="25AFBB1B" w:rsidR="00144CC4" w:rsidRPr="00EE516D" w:rsidRDefault="00144CC4" w:rsidP="00144CC4">
                  <w:pPr>
                    <w:spacing w:after="0" w:line="240" w:lineRule="auto"/>
                    <w:jc w:val="right"/>
                    <w:rPr>
                      <w:rFonts w:eastAsia="Times New Roman" w:cs="Times New Roman"/>
                      <w:sz w:val="22"/>
                    </w:rPr>
                  </w:pPr>
                  <w:r w:rsidRPr="00EE516D">
                    <w:rPr>
                      <w:rFonts w:eastAsia="Times New Roman" w:cs="Times New Roman"/>
                      <w:sz w:val="22"/>
                    </w:rPr>
                    <w:t>990,846,139.66</w:t>
                  </w:r>
                </w:p>
              </w:tc>
              <w:tc>
                <w:tcPr>
                  <w:tcW w:w="2117" w:type="dxa"/>
                  <w:tcBorders>
                    <w:top w:val="nil"/>
                    <w:left w:val="nil"/>
                    <w:bottom w:val="nil"/>
                    <w:right w:val="nil"/>
                  </w:tcBorders>
                  <w:shd w:val="clear" w:color="auto" w:fill="auto"/>
                  <w:vAlign w:val="center"/>
                </w:tcPr>
                <w:p w14:paraId="6D6EC398" w14:textId="1104419A" w:rsidR="00144CC4" w:rsidRPr="00EE516D" w:rsidRDefault="00B31C23" w:rsidP="00144CC4">
                  <w:pPr>
                    <w:spacing w:after="0" w:line="240" w:lineRule="auto"/>
                    <w:jc w:val="right"/>
                    <w:rPr>
                      <w:rFonts w:eastAsia="Times New Roman" w:cs="Times New Roman"/>
                      <w:sz w:val="22"/>
                    </w:rPr>
                  </w:pPr>
                  <w:r w:rsidRPr="00EE516D">
                    <w:rPr>
                      <w:rFonts w:eastAsia="Times New Roman" w:cs="Times New Roman"/>
                      <w:sz w:val="22"/>
                    </w:rPr>
                    <w:t>1,626,561,592.92</w:t>
                  </w:r>
                </w:p>
              </w:tc>
            </w:tr>
            <w:tr w:rsidR="00144CC4" w:rsidRPr="00EE516D" w14:paraId="7BB8D8FF" w14:textId="77777777" w:rsidTr="00144CC4">
              <w:trPr>
                <w:trHeight w:val="160"/>
              </w:trPr>
              <w:tc>
                <w:tcPr>
                  <w:tcW w:w="2610" w:type="dxa"/>
                  <w:tcBorders>
                    <w:top w:val="nil"/>
                    <w:left w:val="nil"/>
                    <w:bottom w:val="nil"/>
                    <w:right w:val="nil"/>
                  </w:tcBorders>
                  <w:shd w:val="clear" w:color="auto" w:fill="auto"/>
                  <w:vAlign w:val="center"/>
                  <w:hideMark/>
                </w:tcPr>
                <w:p w14:paraId="712AB9E1" w14:textId="0D9764BC" w:rsidR="00144CC4" w:rsidRPr="00C07114" w:rsidRDefault="00C07114" w:rsidP="00144CC4">
                  <w:pPr>
                    <w:spacing w:after="0" w:line="240" w:lineRule="auto"/>
                    <w:rPr>
                      <w:rFonts w:eastAsia="Times New Roman" w:cs="Times New Roman"/>
                      <w:sz w:val="22"/>
                      <w:lang w:val="en-US"/>
                    </w:rPr>
                  </w:pPr>
                  <w:r>
                    <w:rPr>
                      <w:rFonts w:eastAsia="Times New Roman" w:cs="Times New Roman"/>
                      <w:sz w:val="22"/>
                      <w:lang w:val="en-US"/>
                    </w:rPr>
                    <w:t>Equity</w:t>
                  </w:r>
                </w:p>
              </w:tc>
              <w:tc>
                <w:tcPr>
                  <w:tcW w:w="1933" w:type="dxa"/>
                  <w:tcBorders>
                    <w:top w:val="nil"/>
                    <w:left w:val="nil"/>
                    <w:bottom w:val="nil"/>
                    <w:right w:val="nil"/>
                  </w:tcBorders>
                  <w:shd w:val="clear" w:color="auto" w:fill="auto"/>
                  <w:vAlign w:val="center"/>
                  <w:hideMark/>
                </w:tcPr>
                <w:p w14:paraId="0F29DC62" w14:textId="4819B1F7" w:rsidR="00144CC4" w:rsidRPr="00EE516D" w:rsidRDefault="00144CC4" w:rsidP="00144CC4">
                  <w:pPr>
                    <w:spacing w:after="0" w:line="240" w:lineRule="auto"/>
                    <w:jc w:val="right"/>
                    <w:rPr>
                      <w:rFonts w:eastAsia="Times New Roman" w:cs="Times New Roman"/>
                      <w:sz w:val="22"/>
                    </w:rPr>
                  </w:pPr>
                  <w:r w:rsidRPr="00EE516D">
                    <w:rPr>
                      <w:rFonts w:eastAsia="Times New Roman" w:cs="Times New Roman"/>
                      <w:sz w:val="22"/>
                    </w:rPr>
                    <w:t>23,492,197,050.28</w:t>
                  </w:r>
                </w:p>
              </w:tc>
              <w:tc>
                <w:tcPr>
                  <w:tcW w:w="2117" w:type="dxa"/>
                  <w:tcBorders>
                    <w:top w:val="nil"/>
                    <w:left w:val="nil"/>
                    <w:bottom w:val="nil"/>
                    <w:right w:val="nil"/>
                  </w:tcBorders>
                  <w:shd w:val="clear" w:color="auto" w:fill="auto"/>
                  <w:vAlign w:val="center"/>
                </w:tcPr>
                <w:p w14:paraId="53F867F4" w14:textId="541CD967" w:rsidR="00144CC4" w:rsidRPr="00EE516D" w:rsidRDefault="00B31C23" w:rsidP="00144CC4">
                  <w:pPr>
                    <w:spacing w:after="0" w:line="240" w:lineRule="auto"/>
                    <w:jc w:val="right"/>
                    <w:rPr>
                      <w:rFonts w:eastAsia="Times New Roman" w:cs="Times New Roman"/>
                      <w:sz w:val="22"/>
                    </w:rPr>
                  </w:pPr>
                  <w:r w:rsidRPr="00EE516D">
                    <w:rPr>
                      <w:rFonts w:eastAsia="Times New Roman" w:cs="Times New Roman"/>
                      <w:sz w:val="22"/>
                    </w:rPr>
                    <w:t>44,079,810,787.51</w:t>
                  </w:r>
                </w:p>
              </w:tc>
            </w:tr>
            <w:tr w:rsidR="00144CC4" w:rsidRPr="00EE516D" w14:paraId="1ACFE939" w14:textId="77777777" w:rsidTr="00144CC4">
              <w:trPr>
                <w:trHeight w:val="217"/>
              </w:trPr>
              <w:tc>
                <w:tcPr>
                  <w:tcW w:w="2610" w:type="dxa"/>
                  <w:tcBorders>
                    <w:top w:val="nil"/>
                    <w:left w:val="nil"/>
                    <w:bottom w:val="nil"/>
                    <w:right w:val="nil"/>
                  </w:tcBorders>
                  <w:shd w:val="clear" w:color="auto" w:fill="auto"/>
                  <w:vAlign w:val="center"/>
                  <w:hideMark/>
                </w:tcPr>
                <w:p w14:paraId="7D69BB46" w14:textId="25A26EFF" w:rsidR="00144CC4" w:rsidRPr="00C07114" w:rsidRDefault="00C07114" w:rsidP="00144CC4">
                  <w:pPr>
                    <w:spacing w:after="0" w:line="240" w:lineRule="auto"/>
                    <w:rPr>
                      <w:rFonts w:eastAsia="Times New Roman" w:cs="Times New Roman"/>
                      <w:b/>
                      <w:bCs/>
                      <w:sz w:val="22"/>
                      <w:lang w:val="en-US"/>
                    </w:rPr>
                  </w:pPr>
                  <w:r>
                    <w:rPr>
                      <w:rFonts w:eastAsia="Times New Roman" w:cs="Times New Roman"/>
                      <w:b/>
                      <w:bCs/>
                      <w:sz w:val="22"/>
                      <w:lang w:val="en-US"/>
                    </w:rPr>
                    <w:t xml:space="preserve">TOTAL </w:t>
                  </w:r>
                  <w:r w:rsidR="00446FFE">
                    <w:rPr>
                      <w:rFonts w:eastAsia="Times New Roman" w:cs="Times New Roman"/>
                      <w:b/>
                      <w:bCs/>
                      <w:sz w:val="22"/>
                      <w:lang w:val="en-US"/>
                    </w:rPr>
                    <w:t>LIABILITIES</w:t>
                  </w:r>
                  <w:r>
                    <w:rPr>
                      <w:rFonts w:eastAsia="Times New Roman" w:cs="Times New Roman"/>
                      <w:b/>
                      <w:bCs/>
                      <w:sz w:val="22"/>
                      <w:lang w:val="en-US"/>
                    </w:rPr>
                    <w:t xml:space="preserve"> AND EQUITY</w:t>
                  </w:r>
                </w:p>
              </w:tc>
              <w:tc>
                <w:tcPr>
                  <w:tcW w:w="1933" w:type="dxa"/>
                  <w:tcBorders>
                    <w:top w:val="nil"/>
                    <w:left w:val="nil"/>
                    <w:bottom w:val="nil"/>
                    <w:right w:val="nil"/>
                  </w:tcBorders>
                  <w:shd w:val="clear" w:color="auto" w:fill="auto"/>
                  <w:vAlign w:val="center"/>
                  <w:hideMark/>
                </w:tcPr>
                <w:p w14:paraId="5C426A62" w14:textId="3F1341EF" w:rsidR="00144CC4" w:rsidRPr="00EE516D" w:rsidRDefault="00144CC4" w:rsidP="00144CC4">
                  <w:pPr>
                    <w:spacing w:after="0" w:line="240" w:lineRule="auto"/>
                    <w:jc w:val="right"/>
                    <w:rPr>
                      <w:rFonts w:eastAsia="Times New Roman" w:cs="Times New Roman"/>
                      <w:b/>
                      <w:bCs/>
                      <w:sz w:val="22"/>
                    </w:rPr>
                  </w:pPr>
                  <w:r w:rsidRPr="00EE516D">
                    <w:rPr>
                      <w:rFonts w:eastAsia="Times New Roman" w:cs="Times New Roman"/>
                      <w:b/>
                      <w:bCs/>
                      <w:sz w:val="22"/>
                    </w:rPr>
                    <w:t>25,481,700,737.9</w:t>
                  </w:r>
                  <w:r w:rsidR="001F6FD3">
                    <w:rPr>
                      <w:rFonts w:eastAsia="Times New Roman" w:cs="Times New Roman"/>
                      <w:b/>
                      <w:bCs/>
                      <w:sz w:val="22"/>
                    </w:rPr>
                    <w:t>0</w:t>
                  </w:r>
                </w:p>
              </w:tc>
              <w:tc>
                <w:tcPr>
                  <w:tcW w:w="2117" w:type="dxa"/>
                  <w:tcBorders>
                    <w:top w:val="nil"/>
                    <w:left w:val="nil"/>
                    <w:bottom w:val="nil"/>
                    <w:right w:val="nil"/>
                  </w:tcBorders>
                  <w:shd w:val="clear" w:color="auto" w:fill="auto"/>
                  <w:vAlign w:val="center"/>
                </w:tcPr>
                <w:p w14:paraId="7AF8187A" w14:textId="11C4E119" w:rsidR="00144CC4" w:rsidRPr="00EE516D" w:rsidRDefault="00B31C23" w:rsidP="00144CC4">
                  <w:pPr>
                    <w:spacing w:after="0" w:line="240" w:lineRule="auto"/>
                    <w:jc w:val="right"/>
                    <w:rPr>
                      <w:rFonts w:eastAsia="Times New Roman" w:cs="Times New Roman"/>
                      <w:b/>
                      <w:bCs/>
                      <w:sz w:val="22"/>
                    </w:rPr>
                  </w:pPr>
                  <w:r w:rsidRPr="00EE516D">
                    <w:rPr>
                      <w:rFonts w:eastAsia="Times New Roman" w:cs="Times New Roman"/>
                      <w:b/>
                      <w:bCs/>
                      <w:sz w:val="22"/>
                    </w:rPr>
                    <w:t>927,294,910,630.15</w:t>
                  </w:r>
                </w:p>
              </w:tc>
            </w:tr>
          </w:tbl>
          <w:p w14:paraId="5759832C" w14:textId="77777777" w:rsidR="006C6C13" w:rsidRPr="00EE516D" w:rsidRDefault="008B1D5B" w:rsidP="006571FD">
            <w:pPr>
              <w:spacing w:after="0" w:line="240" w:lineRule="auto"/>
              <w:rPr>
                <w:rFonts w:cs="Times New Roman"/>
                <w:b/>
                <w:bCs/>
                <w:i/>
                <w:iCs/>
                <w:sz w:val="22"/>
              </w:rPr>
            </w:pPr>
            <w:r w:rsidRPr="00EE516D">
              <w:rPr>
                <w:rFonts w:eastAsia="Times New Roman" w:cs="Times New Roman"/>
                <w:i/>
                <w:iCs/>
                <w:color w:val="000000"/>
                <w:sz w:val="22"/>
                <w:lang w:eastAsia="mn-MN"/>
              </w:rPr>
              <w:t> </w:t>
            </w:r>
          </w:p>
          <w:p w14:paraId="23DF5FE9" w14:textId="5D7EBAC3" w:rsidR="008B1D5B" w:rsidRPr="00EE516D" w:rsidRDefault="008B1D5B" w:rsidP="008B1D5B">
            <w:pPr>
              <w:spacing w:after="0" w:line="240" w:lineRule="auto"/>
              <w:rPr>
                <w:rFonts w:eastAsia="Times New Roman" w:cs="Times New Roman"/>
                <w:i/>
                <w:iCs/>
                <w:color w:val="000000"/>
                <w:sz w:val="22"/>
                <w:lang w:eastAsia="mn-MN"/>
              </w:rPr>
            </w:pPr>
          </w:p>
        </w:tc>
      </w:tr>
      <w:tr w:rsidR="006B0BDD" w:rsidRPr="00EE516D" w14:paraId="17CB8C45" w14:textId="77777777" w:rsidTr="00433B17">
        <w:trPr>
          <w:trHeight w:val="481"/>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4C33D09F" w14:textId="77777777" w:rsidR="008B1D5B" w:rsidRPr="00EE516D" w:rsidRDefault="008B1D5B" w:rsidP="008B1D5B">
            <w:pPr>
              <w:spacing w:after="0" w:line="240" w:lineRule="auto"/>
              <w:rPr>
                <w:rFonts w:eastAsia="Times New Roman" w:cs="Times New Roman"/>
                <w:i/>
                <w:iCs/>
                <w:color w:val="000000"/>
                <w:sz w:val="22"/>
                <w:lang w:eastAsia="mn-MN"/>
              </w:rPr>
            </w:pPr>
          </w:p>
          <w:p w14:paraId="06459191" w14:textId="77777777" w:rsidR="00D420D9" w:rsidRPr="00EE516D" w:rsidRDefault="00D420D9" w:rsidP="008B1D5B">
            <w:pPr>
              <w:spacing w:after="0" w:line="240" w:lineRule="auto"/>
              <w:rPr>
                <w:rFonts w:eastAsia="Times New Roman" w:cs="Times New Roman"/>
                <w:i/>
                <w:iCs/>
                <w:color w:val="000000"/>
                <w:sz w:val="22"/>
                <w:lang w:eastAsia="mn-MN"/>
              </w:rPr>
            </w:pPr>
          </w:p>
          <w:p w14:paraId="0264A7C8" w14:textId="6DCE0B33" w:rsidR="00D420D9" w:rsidRPr="00446FFE" w:rsidRDefault="00446FFE" w:rsidP="00367F84">
            <w:pPr>
              <w:spacing w:after="0" w:line="240" w:lineRule="auto"/>
              <w:jc w:val="center"/>
              <w:rPr>
                <w:rFonts w:eastAsia="Times New Roman" w:cs="Times New Roman"/>
                <w:i/>
                <w:iCs/>
                <w:color w:val="000000"/>
                <w:sz w:val="22"/>
                <w:lang w:val="en-US" w:eastAsia="mn-MN"/>
              </w:rPr>
            </w:pPr>
            <w:r>
              <w:rPr>
                <w:rFonts w:eastAsia="Times New Roman" w:cs="Times New Roman"/>
                <w:i/>
                <w:iCs/>
                <w:color w:val="000000"/>
                <w:sz w:val="22"/>
                <w:lang w:val="en-US" w:eastAsia="mn-MN"/>
              </w:rPr>
              <w:t>Income statement</w:t>
            </w:r>
          </w:p>
        </w:tc>
        <w:tc>
          <w:tcPr>
            <w:tcW w:w="7560" w:type="dxa"/>
            <w:tcBorders>
              <w:top w:val="nil"/>
              <w:left w:val="nil"/>
              <w:bottom w:val="single" w:sz="4" w:space="0" w:color="auto"/>
              <w:right w:val="single" w:sz="4" w:space="0" w:color="auto"/>
            </w:tcBorders>
            <w:shd w:val="clear" w:color="auto" w:fill="FFFFFF" w:themeFill="background1"/>
            <w:hideMark/>
          </w:tcPr>
          <w:tbl>
            <w:tblPr>
              <w:tblpPr w:leftFromText="180" w:rightFromText="180" w:vertAnchor="text" w:horzAnchor="page" w:tblpX="723" w:tblpY="72"/>
              <w:tblOverlap w:val="never"/>
              <w:tblW w:w="6210" w:type="dxa"/>
              <w:tblLayout w:type="fixed"/>
              <w:tblLook w:val="04A0" w:firstRow="1" w:lastRow="0" w:firstColumn="1" w:lastColumn="0" w:noHBand="0" w:noVBand="1"/>
            </w:tblPr>
            <w:tblGrid>
              <w:gridCol w:w="2250"/>
              <w:gridCol w:w="1890"/>
              <w:gridCol w:w="2070"/>
            </w:tblGrid>
            <w:tr w:rsidR="006471D6" w:rsidRPr="00EE516D" w14:paraId="66CF142F" w14:textId="77777777" w:rsidTr="00A66D4E">
              <w:trPr>
                <w:trHeight w:val="406"/>
              </w:trPr>
              <w:tc>
                <w:tcPr>
                  <w:tcW w:w="2250" w:type="dxa"/>
                  <w:tcBorders>
                    <w:top w:val="single" w:sz="4" w:space="0" w:color="auto"/>
                    <w:left w:val="nil"/>
                    <w:bottom w:val="single" w:sz="4" w:space="0" w:color="auto"/>
                    <w:right w:val="nil"/>
                  </w:tcBorders>
                  <w:shd w:val="clear" w:color="000000" w:fill="FFFFFF"/>
                  <w:vAlign w:val="center"/>
                  <w:hideMark/>
                </w:tcPr>
                <w:p w14:paraId="5BCBB885" w14:textId="28992841" w:rsidR="006471D6" w:rsidRPr="00C07114" w:rsidRDefault="00C07114" w:rsidP="004E0B91">
                  <w:pPr>
                    <w:spacing w:after="0" w:line="240" w:lineRule="auto"/>
                    <w:jc w:val="center"/>
                    <w:rPr>
                      <w:rFonts w:eastAsia="Times New Roman" w:cs="Times New Roman"/>
                      <w:b/>
                      <w:bCs/>
                      <w:sz w:val="22"/>
                      <w:lang w:val="en-US"/>
                    </w:rPr>
                  </w:pPr>
                  <w:r>
                    <w:rPr>
                      <w:rFonts w:eastAsia="Times New Roman" w:cs="Times New Roman"/>
                      <w:b/>
                      <w:bCs/>
                      <w:sz w:val="22"/>
                      <w:lang w:val="en-US"/>
                    </w:rPr>
                    <w:t>Items</w:t>
                  </w:r>
                </w:p>
              </w:tc>
              <w:tc>
                <w:tcPr>
                  <w:tcW w:w="1890" w:type="dxa"/>
                  <w:tcBorders>
                    <w:top w:val="single" w:sz="4" w:space="0" w:color="auto"/>
                    <w:left w:val="nil"/>
                    <w:bottom w:val="single" w:sz="4" w:space="0" w:color="auto"/>
                    <w:right w:val="nil"/>
                  </w:tcBorders>
                  <w:shd w:val="clear" w:color="000000" w:fill="FFFFFF"/>
                  <w:vAlign w:val="center"/>
                  <w:hideMark/>
                </w:tcPr>
                <w:p w14:paraId="3172BD01" w14:textId="3CA9F0B2" w:rsidR="006471D6" w:rsidRPr="00EE516D" w:rsidRDefault="006471D6" w:rsidP="004E0B91">
                  <w:pPr>
                    <w:spacing w:after="0" w:line="240" w:lineRule="auto"/>
                    <w:jc w:val="center"/>
                    <w:rPr>
                      <w:rFonts w:eastAsia="Times New Roman" w:cs="Times New Roman"/>
                      <w:b/>
                      <w:bCs/>
                      <w:sz w:val="22"/>
                    </w:rPr>
                  </w:pPr>
                  <w:r w:rsidRPr="00EE516D">
                    <w:rPr>
                      <w:rFonts w:eastAsia="Times New Roman" w:cs="Times New Roman"/>
                      <w:b/>
                      <w:bCs/>
                      <w:sz w:val="22"/>
                    </w:rPr>
                    <w:t>1/1/202</w:t>
                  </w:r>
                  <w:r w:rsidR="00E773ED" w:rsidRPr="00EE516D">
                    <w:rPr>
                      <w:rFonts w:eastAsia="Times New Roman" w:cs="Times New Roman"/>
                      <w:b/>
                      <w:bCs/>
                      <w:sz w:val="22"/>
                    </w:rPr>
                    <w:t>3</w:t>
                  </w:r>
                </w:p>
              </w:tc>
              <w:tc>
                <w:tcPr>
                  <w:tcW w:w="2070" w:type="dxa"/>
                  <w:tcBorders>
                    <w:top w:val="single" w:sz="4" w:space="0" w:color="auto"/>
                    <w:left w:val="nil"/>
                    <w:bottom w:val="single" w:sz="4" w:space="0" w:color="auto"/>
                    <w:right w:val="nil"/>
                  </w:tcBorders>
                  <w:shd w:val="clear" w:color="000000" w:fill="FFFFFF"/>
                  <w:vAlign w:val="center"/>
                  <w:hideMark/>
                </w:tcPr>
                <w:p w14:paraId="19C99E6A" w14:textId="7E2E2255" w:rsidR="006471D6" w:rsidRPr="00EE516D" w:rsidRDefault="006471D6" w:rsidP="004E0B91">
                  <w:pPr>
                    <w:spacing w:after="0" w:line="240" w:lineRule="auto"/>
                    <w:jc w:val="center"/>
                    <w:rPr>
                      <w:rFonts w:eastAsia="Times New Roman" w:cs="Times New Roman"/>
                      <w:b/>
                      <w:bCs/>
                      <w:sz w:val="22"/>
                    </w:rPr>
                  </w:pPr>
                  <w:r w:rsidRPr="00EE516D">
                    <w:rPr>
                      <w:rFonts w:eastAsia="Times New Roman" w:cs="Times New Roman"/>
                      <w:b/>
                      <w:bCs/>
                      <w:sz w:val="22"/>
                    </w:rPr>
                    <w:t>12/31/202</w:t>
                  </w:r>
                  <w:r w:rsidR="00E773ED" w:rsidRPr="00EE516D">
                    <w:rPr>
                      <w:rFonts w:eastAsia="Times New Roman" w:cs="Times New Roman"/>
                      <w:b/>
                      <w:bCs/>
                      <w:sz w:val="22"/>
                    </w:rPr>
                    <w:t>3</w:t>
                  </w:r>
                </w:p>
              </w:tc>
            </w:tr>
            <w:tr w:rsidR="006A3DAC" w:rsidRPr="00EE516D" w14:paraId="512227B1" w14:textId="77777777" w:rsidTr="00A66D4E">
              <w:trPr>
                <w:trHeight w:val="246"/>
              </w:trPr>
              <w:tc>
                <w:tcPr>
                  <w:tcW w:w="2250" w:type="dxa"/>
                  <w:tcBorders>
                    <w:top w:val="nil"/>
                    <w:left w:val="nil"/>
                    <w:bottom w:val="nil"/>
                    <w:right w:val="nil"/>
                  </w:tcBorders>
                  <w:shd w:val="clear" w:color="auto" w:fill="auto"/>
                  <w:vAlign w:val="center"/>
                  <w:hideMark/>
                </w:tcPr>
                <w:p w14:paraId="31463A73" w14:textId="6A64B823" w:rsidR="006A3DAC" w:rsidRPr="00446FFE" w:rsidRDefault="00446FFE" w:rsidP="006A3DAC">
                  <w:pPr>
                    <w:spacing w:after="0" w:line="240" w:lineRule="auto"/>
                    <w:rPr>
                      <w:rFonts w:eastAsia="Times New Roman" w:cs="Times New Roman"/>
                      <w:sz w:val="22"/>
                      <w:lang w:val="en-US"/>
                    </w:rPr>
                  </w:pPr>
                  <w:r>
                    <w:rPr>
                      <w:rFonts w:eastAsia="Times New Roman" w:cs="Times New Roman"/>
                      <w:sz w:val="22"/>
                      <w:lang w:val="en-US"/>
                    </w:rPr>
                    <w:t>Net sales revenue</w:t>
                  </w:r>
                </w:p>
              </w:tc>
              <w:tc>
                <w:tcPr>
                  <w:tcW w:w="1890" w:type="dxa"/>
                  <w:tcBorders>
                    <w:top w:val="nil"/>
                    <w:left w:val="nil"/>
                    <w:bottom w:val="nil"/>
                    <w:right w:val="nil"/>
                  </w:tcBorders>
                  <w:shd w:val="clear" w:color="auto" w:fill="auto"/>
                  <w:vAlign w:val="center"/>
                  <w:hideMark/>
                </w:tcPr>
                <w:p w14:paraId="6E3D0C6A" w14:textId="1F067342" w:rsidR="006A3DAC" w:rsidRPr="00EE516D" w:rsidRDefault="006A3DAC" w:rsidP="00C4752A">
                  <w:pPr>
                    <w:spacing w:after="0" w:line="240" w:lineRule="auto"/>
                    <w:jc w:val="center"/>
                    <w:rPr>
                      <w:rFonts w:eastAsia="Times New Roman" w:cs="Times New Roman"/>
                      <w:sz w:val="22"/>
                    </w:rPr>
                  </w:pPr>
                  <w:r w:rsidRPr="00EE516D">
                    <w:rPr>
                      <w:rFonts w:eastAsia="Times New Roman" w:cs="Times New Roman"/>
                      <w:sz w:val="22"/>
                    </w:rPr>
                    <w:t>4,241,344,850.62</w:t>
                  </w:r>
                </w:p>
              </w:tc>
              <w:tc>
                <w:tcPr>
                  <w:tcW w:w="2070" w:type="dxa"/>
                  <w:tcBorders>
                    <w:top w:val="nil"/>
                    <w:left w:val="nil"/>
                    <w:bottom w:val="nil"/>
                    <w:right w:val="nil"/>
                  </w:tcBorders>
                  <w:shd w:val="clear" w:color="auto" w:fill="auto"/>
                  <w:vAlign w:val="center"/>
                </w:tcPr>
                <w:p w14:paraId="37123904" w14:textId="6188189E" w:rsidR="006A3DAC" w:rsidRPr="00EE516D" w:rsidRDefault="003F371D" w:rsidP="00C4752A">
                  <w:pPr>
                    <w:spacing w:after="0" w:line="240" w:lineRule="auto"/>
                    <w:jc w:val="center"/>
                    <w:rPr>
                      <w:rFonts w:eastAsia="Times New Roman" w:cs="Times New Roman"/>
                      <w:sz w:val="22"/>
                    </w:rPr>
                  </w:pPr>
                  <w:r w:rsidRPr="00EE516D">
                    <w:rPr>
                      <w:rFonts w:eastAsia="Times New Roman" w:cs="Times New Roman"/>
                      <w:sz w:val="22"/>
                    </w:rPr>
                    <w:t>12,147,031,303.89</w:t>
                  </w:r>
                </w:p>
              </w:tc>
            </w:tr>
            <w:tr w:rsidR="006A3DAC" w:rsidRPr="00EE516D" w14:paraId="1D46A5FB" w14:textId="77777777" w:rsidTr="00A66D4E">
              <w:trPr>
                <w:trHeight w:val="246"/>
              </w:trPr>
              <w:tc>
                <w:tcPr>
                  <w:tcW w:w="2250" w:type="dxa"/>
                  <w:tcBorders>
                    <w:top w:val="nil"/>
                    <w:left w:val="nil"/>
                    <w:bottom w:val="nil"/>
                    <w:right w:val="nil"/>
                  </w:tcBorders>
                  <w:shd w:val="clear" w:color="auto" w:fill="auto"/>
                  <w:vAlign w:val="center"/>
                  <w:hideMark/>
                </w:tcPr>
                <w:p w14:paraId="265997F4" w14:textId="29CF7048" w:rsidR="006A3DAC" w:rsidRPr="00446FFE" w:rsidRDefault="00446FFE" w:rsidP="006A3DAC">
                  <w:pPr>
                    <w:spacing w:after="0" w:line="240" w:lineRule="auto"/>
                    <w:rPr>
                      <w:rFonts w:eastAsia="Times New Roman" w:cs="Times New Roman"/>
                      <w:sz w:val="22"/>
                      <w:lang w:val="en-US"/>
                    </w:rPr>
                  </w:pPr>
                  <w:r>
                    <w:rPr>
                      <w:rFonts w:eastAsia="Times New Roman" w:cs="Times New Roman"/>
                      <w:sz w:val="22"/>
                      <w:lang w:val="en-US"/>
                    </w:rPr>
                    <w:t>Cost of sales</w:t>
                  </w:r>
                </w:p>
              </w:tc>
              <w:tc>
                <w:tcPr>
                  <w:tcW w:w="1890" w:type="dxa"/>
                  <w:tcBorders>
                    <w:top w:val="nil"/>
                    <w:left w:val="nil"/>
                    <w:bottom w:val="nil"/>
                    <w:right w:val="nil"/>
                  </w:tcBorders>
                  <w:shd w:val="clear" w:color="auto" w:fill="auto"/>
                  <w:vAlign w:val="center"/>
                  <w:hideMark/>
                </w:tcPr>
                <w:p w14:paraId="56273FA2" w14:textId="77777777" w:rsidR="006A3DAC" w:rsidRPr="00EE516D" w:rsidRDefault="006A3DAC" w:rsidP="00C4752A">
                  <w:pPr>
                    <w:spacing w:after="0" w:line="240" w:lineRule="auto"/>
                    <w:jc w:val="center"/>
                    <w:rPr>
                      <w:rFonts w:eastAsia="Times New Roman" w:cs="Times New Roman"/>
                      <w:sz w:val="22"/>
                    </w:rPr>
                  </w:pPr>
                </w:p>
              </w:tc>
              <w:tc>
                <w:tcPr>
                  <w:tcW w:w="2070" w:type="dxa"/>
                  <w:tcBorders>
                    <w:top w:val="nil"/>
                    <w:left w:val="nil"/>
                    <w:bottom w:val="nil"/>
                    <w:right w:val="nil"/>
                  </w:tcBorders>
                  <w:shd w:val="clear" w:color="auto" w:fill="auto"/>
                  <w:vAlign w:val="center"/>
                </w:tcPr>
                <w:p w14:paraId="3AC11B72" w14:textId="545B4BFC" w:rsidR="006A3DAC" w:rsidRPr="00EE516D" w:rsidRDefault="006A3DAC" w:rsidP="00C4752A">
                  <w:pPr>
                    <w:spacing w:after="0" w:line="240" w:lineRule="auto"/>
                    <w:jc w:val="center"/>
                    <w:rPr>
                      <w:rFonts w:eastAsia="Times New Roman" w:cs="Times New Roman"/>
                      <w:sz w:val="22"/>
                    </w:rPr>
                  </w:pPr>
                </w:p>
              </w:tc>
            </w:tr>
            <w:tr w:rsidR="006A3DAC" w:rsidRPr="00EE516D" w14:paraId="1AB13536" w14:textId="77777777" w:rsidTr="00A66D4E">
              <w:trPr>
                <w:trHeight w:val="246"/>
              </w:trPr>
              <w:tc>
                <w:tcPr>
                  <w:tcW w:w="2250" w:type="dxa"/>
                  <w:tcBorders>
                    <w:top w:val="nil"/>
                    <w:left w:val="nil"/>
                    <w:bottom w:val="nil"/>
                    <w:right w:val="nil"/>
                  </w:tcBorders>
                  <w:shd w:val="clear" w:color="auto" w:fill="auto"/>
                  <w:vAlign w:val="center"/>
                  <w:hideMark/>
                </w:tcPr>
                <w:p w14:paraId="3A5A3F30" w14:textId="5B910451" w:rsidR="006A3DAC" w:rsidRPr="00EE516D" w:rsidRDefault="00446FFE" w:rsidP="006A3DAC">
                  <w:pPr>
                    <w:spacing w:after="0" w:line="240" w:lineRule="auto"/>
                    <w:rPr>
                      <w:rFonts w:eastAsia="Times New Roman" w:cs="Times New Roman"/>
                      <w:sz w:val="22"/>
                    </w:rPr>
                  </w:pPr>
                  <w:r>
                    <w:rPr>
                      <w:rFonts w:eastAsia="Times New Roman" w:cs="Times New Roman"/>
                      <w:sz w:val="22"/>
                      <w:lang w:val="en-US"/>
                    </w:rPr>
                    <w:t>Total revenue</w:t>
                  </w:r>
                  <w:r w:rsidR="006A3DAC" w:rsidRPr="00EE516D">
                    <w:rPr>
                      <w:rFonts w:eastAsia="Times New Roman" w:cs="Times New Roman"/>
                      <w:sz w:val="22"/>
                    </w:rPr>
                    <w:t>(</w:t>
                  </w:r>
                  <w:r>
                    <w:rPr>
                      <w:rFonts w:eastAsia="Times New Roman" w:cs="Times New Roman"/>
                      <w:sz w:val="22"/>
                      <w:lang w:val="en-US"/>
                    </w:rPr>
                    <w:t>loss</w:t>
                  </w:r>
                  <w:r w:rsidR="006A3DAC" w:rsidRPr="00EE516D">
                    <w:rPr>
                      <w:rFonts w:eastAsia="Times New Roman" w:cs="Times New Roman"/>
                      <w:sz w:val="22"/>
                    </w:rPr>
                    <w:t>)</w:t>
                  </w:r>
                </w:p>
              </w:tc>
              <w:tc>
                <w:tcPr>
                  <w:tcW w:w="1890" w:type="dxa"/>
                  <w:tcBorders>
                    <w:top w:val="nil"/>
                    <w:left w:val="nil"/>
                    <w:bottom w:val="nil"/>
                    <w:right w:val="nil"/>
                  </w:tcBorders>
                  <w:shd w:val="clear" w:color="auto" w:fill="auto"/>
                  <w:vAlign w:val="center"/>
                  <w:hideMark/>
                </w:tcPr>
                <w:p w14:paraId="3336E656" w14:textId="3BFE93EC" w:rsidR="006A3DAC" w:rsidRPr="00EE516D" w:rsidRDefault="006A3DAC" w:rsidP="00C4752A">
                  <w:pPr>
                    <w:spacing w:after="0" w:line="240" w:lineRule="auto"/>
                    <w:jc w:val="center"/>
                    <w:rPr>
                      <w:rFonts w:eastAsia="Times New Roman" w:cs="Times New Roman"/>
                      <w:sz w:val="22"/>
                    </w:rPr>
                  </w:pPr>
                  <w:r w:rsidRPr="00EE516D">
                    <w:rPr>
                      <w:rFonts w:eastAsia="Times New Roman" w:cs="Times New Roman"/>
                      <w:sz w:val="22"/>
                    </w:rPr>
                    <w:t>4,241,344,850.62</w:t>
                  </w:r>
                </w:p>
              </w:tc>
              <w:tc>
                <w:tcPr>
                  <w:tcW w:w="2070" w:type="dxa"/>
                  <w:tcBorders>
                    <w:top w:val="nil"/>
                    <w:left w:val="nil"/>
                    <w:bottom w:val="nil"/>
                    <w:right w:val="nil"/>
                  </w:tcBorders>
                  <w:shd w:val="clear" w:color="auto" w:fill="auto"/>
                  <w:vAlign w:val="center"/>
                </w:tcPr>
                <w:p w14:paraId="5C2F392C" w14:textId="693B79C7" w:rsidR="006A3DAC" w:rsidRPr="00EE516D" w:rsidRDefault="003F371D" w:rsidP="00C4752A">
                  <w:pPr>
                    <w:spacing w:after="0" w:line="240" w:lineRule="auto"/>
                    <w:jc w:val="center"/>
                    <w:rPr>
                      <w:rFonts w:eastAsia="Times New Roman" w:cs="Times New Roman"/>
                      <w:sz w:val="22"/>
                    </w:rPr>
                  </w:pPr>
                  <w:r w:rsidRPr="00EE516D">
                    <w:rPr>
                      <w:rFonts w:eastAsia="Times New Roman" w:cs="Times New Roman"/>
                      <w:sz w:val="22"/>
                    </w:rPr>
                    <w:t>12,147,031,303.89</w:t>
                  </w:r>
                </w:p>
              </w:tc>
            </w:tr>
            <w:tr w:rsidR="006A3DAC" w:rsidRPr="00EE516D" w14:paraId="36156CCF" w14:textId="77777777" w:rsidTr="00A66D4E">
              <w:trPr>
                <w:trHeight w:val="246"/>
              </w:trPr>
              <w:tc>
                <w:tcPr>
                  <w:tcW w:w="2250" w:type="dxa"/>
                  <w:tcBorders>
                    <w:top w:val="nil"/>
                    <w:left w:val="nil"/>
                    <w:bottom w:val="nil"/>
                    <w:right w:val="nil"/>
                  </w:tcBorders>
                  <w:shd w:val="clear" w:color="auto" w:fill="auto"/>
                  <w:vAlign w:val="center"/>
                  <w:hideMark/>
                </w:tcPr>
                <w:p w14:paraId="1B53257F" w14:textId="629FA3A3" w:rsidR="006A3DAC" w:rsidRPr="00446FFE" w:rsidRDefault="00446FFE" w:rsidP="006A3DAC">
                  <w:pPr>
                    <w:spacing w:after="0" w:line="240" w:lineRule="auto"/>
                    <w:rPr>
                      <w:rFonts w:eastAsia="Times New Roman" w:cs="Times New Roman"/>
                      <w:b/>
                      <w:bCs/>
                      <w:sz w:val="22"/>
                      <w:lang w:val="en-US"/>
                    </w:rPr>
                  </w:pPr>
                  <w:proofErr w:type="spellStart"/>
                  <w:r>
                    <w:rPr>
                      <w:rFonts w:eastAsia="Times New Roman" w:cs="Times New Roman"/>
                      <w:b/>
                      <w:bCs/>
                      <w:sz w:val="22"/>
                      <w:lang w:val="en-US"/>
                    </w:rPr>
                    <w:t>Proit</w:t>
                  </w:r>
                  <w:proofErr w:type="spellEnd"/>
                  <w:r w:rsidR="006A3DAC" w:rsidRPr="00EE516D">
                    <w:rPr>
                      <w:rFonts w:eastAsia="Times New Roman" w:cs="Times New Roman"/>
                      <w:b/>
                      <w:bCs/>
                      <w:sz w:val="22"/>
                    </w:rPr>
                    <w:t>(</w:t>
                  </w:r>
                  <w:r>
                    <w:rPr>
                      <w:rFonts w:eastAsia="Times New Roman" w:cs="Times New Roman"/>
                      <w:b/>
                      <w:bCs/>
                      <w:sz w:val="22"/>
                      <w:lang w:val="en-US"/>
                    </w:rPr>
                    <w:t>loss</w:t>
                  </w:r>
                  <w:r w:rsidR="006A3DAC" w:rsidRPr="00EE516D">
                    <w:rPr>
                      <w:rFonts w:eastAsia="Times New Roman" w:cs="Times New Roman"/>
                      <w:b/>
                      <w:bCs/>
                      <w:sz w:val="22"/>
                    </w:rPr>
                    <w:t>)</w:t>
                  </w:r>
                  <w:r>
                    <w:rPr>
                      <w:rFonts w:eastAsia="Times New Roman" w:cs="Times New Roman"/>
                      <w:b/>
                      <w:bCs/>
                      <w:sz w:val="22"/>
                      <w:lang w:val="en-US"/>
                    </w:rPr>
                    <w:t xml:space="preserve"> before tax</w:t>
                  </w:r>
                </w:p>
              </w:tc>
              <w:tc>
                <w:tcPr>
                  <w:tcW w:w="1890" w:type="dxa"/>
                  <w:tcBorders>
                    <w:top w:val="nil"/>
                    <w:left w:val="nil"/>
                    <w:bottom w:val="nil"/>
                    <w:right w:val="nil"/>
                  </w:tcBorders>
                  <w:shd w:val="clear" w:color="auto" w:fill="auto"/>
                  <w:vAlign w:val="center"/>
                  <w:hideMark/>
                </w:tcPr>
                <w:p w14:paraId="5FD23A8C" w14:textId="5B6D7F46" w:rsidR="006A3DAC" w:rsidRPr="00EE516D" w:rsidRDefault="006A3DAC" w:rsidP="00C4752A">
                  <w:pPr>
                    <w:spacing w:after="0" w:line="240" w:lineRule="auto"/>
                    <w:jc w:val="center"/>
                    <w:rPr>
                      <w:rFonts w:eastAsia="Times New Roman" w:cs="Times New Roman"/>
                      <w:b/>
                      <w:bCs/>
                      <w:sz w:val="22"/>
                    </w:rPr>
                  </w:pPr>
                  <w:r w:rsidRPr="00EE516D">
                    <w:rPr>
                      <w:rFonts w:eastAsia="Times New Roman" w:cs="Times New Roman"/>
                      <w:b/>
                      <w:bCs/>
                      <w:sz w:val="22"/>
                    </w:rPr>
                    <w:t>769,747,808.22</w:t>
                  </w:r>
                </w:p>
              </w:tc>
              <w:tc>
                <w:tcPr>
                  <w:tcW w:w="2070" w:type="dxa"/>
                  <w:tcBorders>
                    <w:top w:val="nil"/>
                    <w:left w:val="nil"/>
                    <w:bottom w:val="nil"/>
                    <w:right w:val="nil"/>
                  </w:tcBorders>
                  <w:shd w:val="clear" w:color="auto" w:fill="auto"/>
                  <w:vAlign w:val="center"/>
                </w:tcPr>
                <w:p w14:paraId="1F1CFCA8" w14:textId="04DE9FE6" w:rsidR="006A3DAC" w:rsidRPr="00EE516D" w:rsidRDefault="003F371D" w:rsidP="00C4752A">
                  <w:pPr>
                    <w:spacing w:after="0" w:line="240" w:lineRule="auto"/>
                    <w:jc w:val="center"/>
                    <w:rPr>
                      <w:rFonts w:eastAsia="Times New Roman" w:cs="Times New Roman"/>
                      <w:b/>
                      <w:bCs/>
                      <w:sz w:val="22"/>
                    </w:rPr>
                  </w:pPr>
                  <w:r w:rsidRPr="00EE516D">
                    <w:rPr>
                      <w:rFonts w:eastAsia="Times New Roman" w:cs="Times New Roman"/>
                      <w:b/>
                      <w:bCs/>
                      <w:sz w:val="22"/>
                    </w:rPr>
                    <w:t>10,337,515,816.10</w:t>
                  </w:r>
                </w:p>
              </w:tc>
            </w:tr>
            <w:tr w:rsidR="006A3DAC" w:rsidRPr="00EE516D" w14:paraId="0240702E" w14:textId="77777777" w:rsidTr="00A66D4E">
              <w:trPr>
                <w:trHeight w:val="246"/>
              </w:trPr>
              <w:tc>
                <w:tcPr>
                  <w:tcW w:w="2250" w:type="dxa"/>
                  <w:tcBorders>
                    <w:top w:val="nil"/>
                    <w:left w:val="nil"/>
                    <w:bottom w:val="nil"/>
                    <w:right w:val="nil"/>
                  </w:tcBorders>
                  <w:shd w:val="clear" w:color="auto" w:fill="auto"/>
                  <w:vAlign w:val="center"/>
                  <w:hideMark/>
                </w:tcPr>
                <w:p w14:paraId="6EFC0861" w14:textId="4F1FE0A8" w:rsidR="006A3DAC" w:rsidRPr="00446FFE" w:rsidRDefault="00446FFE" w:rsidP="006A3DAC">
                  <w:pPr>
                    <w:spacing w:after="0" w:line="240" w:lineRule="auto"/>
                    <w:rPr>
                      <w:rFonts w:eastAsia="Times New Roman" w:cs="Times New Roman"/>
                      <w:sz w:val="22"/>
                      <w:lang w:val="en-US"/>
                    </w:rPr>
                  </w:pPr>
                  <w:r>
                    <w:rPr>
                      <w:rFonts w:eastAsia="Times New Roman" w:cs="Times New Roman"/>
                      <w:sz w:val="22"/>
                      <w:lang w:val="en-US"/>
                    </w:rPr>
                    <w:lastRenderedPageBreak/>
                    <w:t>Income tax expense</w:t>
                  </w:r>
                </w:p>
              </w:tc>
              <w:tc>
                <w:tcPr>
                  <w:tcW w:w="1890" w:type="dxa"/>
                  <w:tcBorders>
                    <w:top w:val="nil"/>
                    <w:left w:val="nil"/>
                    <w:bottom w:val="nil"/>
                    <w:right w:val="nil"/>
                  </w:tcBorders>
                  <w:shd w:val="clear" w:color="auto" w:fill="auto"/>
                  <w:vAlign w:val="center"/>
                  <w:hideMark/>
                </w:tcPr>
                <w:p w14:paraId="55DA6081" w14:textId="4E7329FB" w:rsidR="006A3DAC" w:rsidRPr="00EE516D" w:rsidRDefault="006A3DAC" w:rsidP="00C4752A">
                  <w:pPr>
                    <w:spacing w:after="0" w:line="240" w:lineRule="auto"/>
                    <w:jc w:val="center"/>
                    <w:rPr>
                      <w:rFonts w:eastAsia="Times New Roman" w:cs="Times New Roman"/>
                      <w:sz w:val="22"/>
                    </w:rPr>
                  </w:pPr>
                  <w:r w:rsidRPr="00EE516D">
                    <w:rPr>
                      <w:rFonts w:eastAsia="Times New Roman" w:cs="Times New Roman"/>
                      <w:sz w:val="22"/>
                    </w:rPr>
                    <w:t>123,519,584.56</w:t>
                  </w:r>
                </w:p>
              </w:tc>
              <w:tc>
                <w:tcPr>
                  <w:tcW w:w="2070" w:type="dxa"/>
                  <w:tcBorders>
                    <w:top w:val="nil"/>
                    <w:left w:val="nil"/>
                    <w:bottom w:val="nil"/>
                    <w:right w:val="nil"/>
                  </w:tcBorders>
                  <w:shd w:val="clear" w:color="auto" w:fill="auto"/>
                  <w:noWrap/>
                  <w:vAlign w:val="center"/>
                </w:tcPr>
                <w:p w14:paraId="35B52B07" w14:textId="0C9E7C29" w:rsidR="006A3DAC" w:rsidRPr="00EE516D" w:rsidRDefault="003F371D" w:rsidP="00C4752A">
                  <w:pPr>
                    <w:spacing w:after="0" w:line="240" w:lineRule="auto"/>
                    <w:jc w:val="center"/>
                    <w:rPr>
                      <w:rFonts w:eastAsia="Times New Roman" w:cs="Times New Roman"/>
                      <w:sz w:val="22"/>
                    </w:rPr>
                  </w:pPr>
                  <w:r w:rsidRPr="00EE516D">
                    <w:rPr>
                      <w:rFonts w:eastAsia="Times New Roman" w:cs="Times New Roman"/>
                      <w:sz w:val="22"/>
                    </w:rPr>
                    <w:t>1,029,799,778.87</w:t>
                  </w:r>
                </w:p>
              </w:tc>
            </w:tr>
            <w:tr w:rsidR="006A3DAC" w:rsidRPr="00EE516D" w14:paraId="2992E473" w14:textId="77777777" w:rsidTr="00A66D4E">
              <w:trPr>
                <w:trHeight w:val="246"/>
              </w:trPr>
              <w:tc>
                <w:tcPr>
                  <w:tcW w:w="2250" w:type="dxa"/>
                  <w:tcBorders>
                    <w:top w:val="nil"/>
                    <w:left w:val="nil"/>
                    <w:bottom w:val="nil"/>
                    <w:right w:val="nil"/>
                  </w:tcBorders>
                  <w:shd w:val="clear" w:color="auto" w:fill="auto"/>
                  <w:vAlign w:val="center"/>
                  <w:hideMark/>
                </w:tcPr>
                <w:p w14:paraId="7D1C56DF" w14:textId="2F7ADBCF" w:rsidR="006A3DAC" w:rsidRPr="00446FFE" w:rsidRDefault="00446FFE" w:rsidP="006A3DAC">
                  <w:pPr>
                    <w:spacing w:after="0" w:line="240" w:lineRule="auto"/>
                    <w:rPr>
                      <w:rFonts w:eastAsia="Times New Roman" w:cs="Times New Roman"/>
                      <w:b/>
                      <w:bCs/>
                      <w:sz w:val="22"/>
                      <w:lang w:val="en-US"/>
                    </w:rPr>
                  </w:pPr>
                  <w:r>
                    <w:rPr>
                      <w:rFonts w:eastAsia="Times New Roman" w:cs="Times New Roman"/>
                      <w:b/>
                      <w:bCs/>
                      <w:sz w:val="22"/>
                      <w:lang w:val="en-US"/>
                    </w:rPr>
                    <w:t>Profit</w:t>
                  </w:r>
                  <w:r w:rsidR="006A3DAC" w:rsidRPr="00EE516D">
                    <w:rPr>
                      <w:rFonts w:eastAsia="Times New Roman" w:cs="Times New Roman"/>
                      <w:b/>
                      <w:bCs/>
                      <w:sz w:val="22"/>
                    </w:rPr>
                    <w:t>(</w:t>
                  </w:r>
                  <w:r>
                    <w:rPr>
                      <w:rFonts w:eastAsia="Times New Roman" w:cs="Times New Roman"/>
                      <w:b/>
                      <w:bCs/>
                      <w:sz w:val="22"/>
                      <w:lang w:val="en-US"/>
                    </w:rPr>
                    <w:t>loss</w:t>
                  </w:r>
                  <w:r w:rsidR="006A3DAC" w:rsidRPr="00EE516D">
                    <w:rPr>
                      <w:rFonts w:eastAsia="Times New Roman" w:cs="Times New Roman"/>
                      <w:b/>
                      <w:bCs/>
                      <w:sz w:val="22"/>
                    </w:rPr>
                    <w:t>)</w:t>
                  </w:r>
                  <w:r>
                    <w:rPr>
                      <w:rFonts w:eastAsia="Times New Roman" w:cs="Times New Roman"/>
                      <w:b/>
                      <w:bCs/>
                      <w:sz w:val="22"/>
                      <w:lang w:val="en-US"/>
                    </w:rPr>
                    <w:t xml:space="preserve"> for the year</w:t>
                  </w:r>
                </w:p>
              </w:tc>
              <w:tc>
                <w:tcPr>
                  <w:tcW w:w="1890" w:type="dxa"/>
                  <w:tcBorders>
                    <w:top w:val="nil"/>
                    <w:left w:val="nil"/>
                    <w:bottom w:val="nil"/>
                    <w:right w:val="nil"/>
                  </w:tcBorders>
                  <w:shd w:val="clear" w:color="auto" w:fill="auto"/>
                  <w:vAlign w:val="center"/>
                  <w:hideMark/>
                </w:tcPr>
                <w:p w14:paraId="433D91C4" w14:textId="318EA364" w:rsidR="006A3DAC" w:rsidRPr="00EE516D" w:rsidRDefault="006A3DAC" w:rsidP="00C4752A">
                  <w:pPr>
                    <w:spacing w:after="0" w:line="240" w:lineRule="auto"/>
                    <w:jc w:val="center"/>
                    <w:rPr>
                      <w:rFonts w:eastAsia="Times New Roman" w:cs="Times New Roman"/>
                      <w:b/>
                      <w:bCs/>
                      <w:sz w:val="22"/>
                    </w:rPr>
                  </w:pPr>
                  <w:r w:rsidRPr="00EE516D">
                    <w:rPr>
                      <w:rFonts w:eastAsia="Times New Roman" w:cs="Times New Roman"/>
                      <w:b/>
                      <w:bCs/>
                      <w:sz w:val="22"/>
                    </w:rPr>
                    <w:t>646,228,223.66</w:t>
                  </w:r>
                </w:p>
              </w:tc>
              <w:tc>
                <w:tcPr>
                  <w:tcW w:w="2070" w:type="dxa"/>
                  <w:tcBorders>
                    <w:top w:val="nil"/>
                    <w:left w:val="nil"/>
                    <w:bottom w:val="nil"/>
                    <w:right w:val="nil"/>
                  </w:tcBorders>
                  <w:shd w:val="clear" w:color="auto" w:fill="auto"/>
                  <w:vAlign w:val="center"/>
                </w:tcPr>
                <w:p w14:paraId="2C0DD436" w14:textId="4AB1E574" w:rsidR="006A3DAC" w:rsidRPr="00EE516D" w:rsidRDefault="003F371D" w:rsidP="00C4752A">
                  <w:pPr>
                    <w:spacing w:after="0" w:line="240" w:lineRule="auto"/>
                    <w:jc w:val="center"/>
                    <w:rPr>
                      <w:rFonts w:eastAsia="Times New Roman" w:cs="Times New Roman"/>
                      <w:b/>
                      <w:bCs/>
                      <w:sz w:val="22"/>
                    </w:rPr>
                  </w:pPr>
                  <w:r w:rsidRPr="00EE516D">
                    <w:rPr>
                      <w:rFonts w:eastAsia="Times New Roman" w:cs="Times New Roman"/>
                      <w:b/>
                      <w:bCs/>
                      <w:sz w:val="22"/>
                    </w:rPr>
                    <w:t>9,307,716,037.23</w:t>
                  </w:r>
                </w:p>
              </w:tc>
            </w:tr>
            <w:tr w:rsidR="006A3DAC" w:rsidRPr="00EE516D" w14:paraId="3291E476" w14:textId="77777777" w:rsidTr="00A66D4E">
              <w:trPr>
                <w:trHeight w:val="246"/>
              </w:trPr>
              <w:tc>
                <w:tcPr>
                  <w:tcW w:w="2250" w:type="dxa"/>
                  <w:tcBorders>
                    <w:top w:val="nil"/>
                    <w:left w:val="nil"/>
                    <w:bottom w:val="nil"/>
                    <w:right w:val="nil"/>
                  </w:tcBorders>
                  <w:shd w:val="clear" w:color="auto" w:fill="auto"/>
                  <w:vAlign w:val="center"/>
                  <w:hideMark/>
                </w:tcPr>
                <w:p w14:paraId="0352D889" w14:textId="7F613B12" w:rsidR="006A3DAC" w:rsidRPr="00446FFE" w:rsidRDefault="00446FFE" w:rsidP="006A3DAC">
                  <w:pPr>
                    <w:spacing w:after="0" w:line="240" w:lineRule="auto"/>
                    <w:rPr>
                      <w:rFonts w:eastAsia="Times New Roman" w:cs="Times New Roman"/>
                      <w:sz w:val="22"/>
                      <w:lang w:val="en-US"/>
                    </w:rPr>
                  </w:pPr>
                  <w:r>
                    <w:rPr>
                      <w:rFonts w:eastAsia="Times New Roman" w:cs="Times New Roman"/>
                      <w:sz w:val="22"/>
                      <w:lang w:val="en-US"/>
                    </w:rPr>
                    <w:t>Other comprehensive income</w:t>
                  </w:r>
                </w:p>
              </w:tc>
              <w:tc>
                <w:tcPr>
                  <w:tcW w:w="1890" w:type="dxa"/>
                  <w:tcBorders>
                    <w:top w:val="nil"/>
                    <w:left w:val="nil"/>
                    <w:bottom w:val="nil"/>
                    <w:right w:val="nil"/>
                  </w:tcBorders>
                  <w:shd w:val="clear" w:color="auto" w:fill="auto"/>
                  <w:vAlign w:val="center"/>
                  <w:hideMark/>
                </w:tcPr>
                <w:p w14:paraId="1C49C18F" w14:textId="481F0E24" w:rsidR="006A3DAC" w:rsidRPr="00EE516D" w:rsidRDefault="006A3DAC" w:rsidP="00C4752A">
                  <w:pPr>
                    <w:spacing w:after="0" w:line="240" w:lineRule="auto"/>
                    <w:jc w:val="center"/>
                    <w:rPr>
                      <w:rFonts w:eastAsia="Times New Roman" w:cs="Times New Roman"/>
                      <w:sz w:val="22"/>
                    </w:rPr>
                  </w:pPr>
                  <w:r w:rsidRPr="00EE516D">
                    <w:rPr>
                      <w:rFonts w:eastAsia="Times New Roman" w:cs="Times New Roman"/>
                      <w:sz w:val="22"/>
                    </w:rPr>
                    <w:t>20,008,784,115.62</w:t>
                  </w:r>
                </w:p>
              </w:tc>
              <w:tc>
                <w:tcPr>
                  <w:tcW w:w="2070" w:type="dxa"/>
                  <w:tcBorders>
                    <w:top w:val="nil"/>
                    <w:left w:val="nil"/>
                    <w:bottom w:val="nil"/>
                    <w:right w:val="nil"/>
                  </w:tcBorders>
                  <w:shd w:val="clear" w:color="auto" w:fill="auto"/>
                  <w:vAlign w:val="center"/>
                </w:tcPr>
                <w:p w14:paraId="549350DC" w14:textId="4D7EEF1E" w:rsidR="006A3DAC" w:rsidRPr="00EE516D" w:rsidRDefault="006A3DAC" w:rsidP="006A3DAC">
                  <w:pPr>
                    <w:spacing w:after="0" w:line="240" w:lineRule="auto"/>
                    <w:jc w:val="right"/>
                    <w:rPr>
                      <w:rFonts w:eastAsia="Times New Roman" w:cs="Times New Roman"/>
                      <w:sz w:val="22"/>
                    </w:rPr>
                  </w:pPr>
                </w:p>
              </w:tc>
            </w:tr>
            <w:tr w:rsidR="006A3DAC" w:rsidRPr="00EE516D" w14:paraId="6BC15D2E" w14:textId="77777777" w:rsidTr="00A66D4E">
              <w:trPr>
                <w:trHeight w:val="246"/>
              </w:trPr>
              <w:tc>
                <w:tcPr>
                  <w:tcW w:w="2250" w:type="dxa"/>
                  <w:tcBorders>
                    <w:top w:val="nil"/>
                    <w:left w:val="nil"/>
                    <w:bottom w:val="nil"/>
                    <w:right w:val="nil"/>
                  </w:tcBorders>
                  <w:shd w:val="clear" w:color="auto" w:fill="auto"/>
                  <w:vAlign w:val="center"/>
                  <w:hideMark/>
                </w:tcPr>
                <w:p w14:paraId="21F642DC" w14:textId="54966B33" w:rsidR="006A3DAC" w:rsidRPr="00446FFE" w:rsidRDefault="00446FFE" w:rsidP="006A3DAC">
                  <w:pPr>
                    <w:spacing w:after="0" w:line="240" w:lineRule="auto"/>
                    <w:rPr>
                      <w:rFonts w:eastAsia="Times New Roman" w:cs="Times New Roman"/>
                      <w:sz w:val="22"/>
                      <w:lang w:val="en-US"/>
                    </w:rPr>
                  </w:pPr>
                  <w:r>
                    <w:rPr>
                      <w:rFonts w:eastAsia="Times New Roman" w:cs="Times New Roman"/>
                      <w:sz w:val="22"/>
                      <w:lang w:val="en-US"/>
                    </w:rPr>
                    <w:t>Revaluation of assets</w:t>
                  </w:r>
                </w:p>
              </w:tc>
              <w:tc>
                <w:tcPr>
                  <w:tcW w:w="1890" w:type="dxa"/>
                  <w:tcBorders>
                    <w:top w:val="nil"/>
                    <w:left w:val="nil"/>
                    <w:bottom w:val="nil"/>
                    <w:right w:val="nil"/>
                  </w:tcBorders>
                  <w:shd w:val="clear" w:color="auto" w:fill="auto"/>
                  <w:vAlign w:val="center"/>
                  <w:hideMark/>
                </w:tcPr>
                <w:p w14:paraId="7F6FAA0A" w14:textId="6A6E5A9C" w:rsidR="006A3DAC" w:rsidRPr="00EE516D" w:rsidRDefault="006A3DAC" w:rsidP="00C4752A">
                  <w:pPr>
                    <w:spacing w:after="0" w:line="240" w:lineRule="auto"/>
                    <w:jc w:val="center"/>
                    <w:rPr>
                      <w:rFonts w:eastAsia="Times New Roman" w:cs="Times New Roman"/>
                      <w:sz w:val="22"/>
                    </w:rPr>
                  </w:pPr>
                  <w:r w:rsidRPr="00EE516D">
                    <w:rPr>
                      <w:rFonts w:eastAsia="Times New Roman" w:cs="Times New Roman"/>
                      <w:sz w:val="22"/>
                    </w:rPr>
                    <w:t>20,008,784,115.62</w:t>
                  </w:r>
                </w:p>
              </w:tc>
              <w:tc>
                <w:tcPr>
                  <w:tcW w:w="2070" w:type="dxa"/>
                  <w:tcBorders>
                    <w:top w:val="nil"/>
                    <w:left w:val="nil"/>
                    <w:bottom w:val="nil"/>
                    <w:right w:val="nil"/>
                  </w:tcBorders>
                  <w:shd w:val="clear" w:color="auto" w:fill="auto"/>
                  <w:vAlign w:val="center"/>
                </w:tcPr>
                <w:p w14:paraId="79DB43B5" w14:textId="19A8334F" w:rsidR="006A3DAC" w:rsidRPr="00EE516D" w:rsidRDefault="006A3DAC" w:rsidP="006A3DAC">
                  <w:pPr>
                    <w:spacing w:after="0" w:line="240" w:lineRule="auto"/>
                    <w:jc w:val="right"/>
                    <w:rPr>
                      <w:rFonts w:eastAsia="Times New Roman" w:cs="Times New Roman"/>
                      <w:sz w:val="22"/>
                    </w:rPr>
                  </w:pPr>
                </w:p>
              </w:tc>
            </w:tr>
            <w:tr w:rsidR="006A3DAC" w:rsidRPr="00EE516D" w14:paraId="4AB732BF" w14:textId="77777777" w:rsidTr="00A66D4E">
              <w:trPr>
                <w:trHeight w:val="246"/>
              </w:trPr>
              <w:tc>
                <w:tcPr>
                  <w:tcW w:w="2250" w:type="dxa"/>
                  <w:tcBorders>
                    <w:top w:val="nil"/>
                    <w:left w:val="nil"/>
                    <w:bottom w:val="nil"/>
                    <w:right w:val="nil"/>
                  </w:tcBorders>
                  <w:shd w:val="clear" w:color="auto" w:fill="auto"/>
                  <w:vAlign w:val="center"/>
                  <w:hideMark/>
                </w:tcPr>
                <w:p w14:paraId="7420933C" w14:textId="49454AE2" w:rsidR="006A3DAC" w:rsidRPr="00446FFE" w:rsidRDefault="00446FFE" w:rsidP="006A3DAC">
                  <w:pPr>
                    <w:spacing w:after="0" w:line="240" w:lineRule="auto"/>
                    <w:rPr>
                      <w:rFonts w:eastAsia="Times New Roman" w:cs="Times New Roman"/>
                      <w:b/>
                      <w:bCs/>
                      <w:sz w:val="22"/>
                      <w:lang w:val="en-US"/>
                    </w:rPr>
                  </w:pPr>
                  <w:r>
                    <w:rPr>
                      <w:rFonts w:eastAsia="Times New Roman" w:cs="Times New Roman"/>
                      <w:b/>
                      <w:bCs/>
                      <w:sz w:val="22"/>
                      <w:lang w:val="en-US"/>
                    </w:rPr>
                    <w:t>Net profit</w:t>
                  </w:r>
                </w:p>
              </w:tc>
              <w:tc>
                <w:tcPr>
                  <w:tcW w:w="1890" w:type="dxa"/>
                  <w:tcBorders>
                    <w:top w:val="nil"/>
                    <w:left w:val="nil"/>
                    <w:bottom w:val="nil"/>
                    <w:right w:val="nil"/>
                  </w:tcBorders>
                  <w:shd w:val="clear" w:color="auto" w:fill="auto"/>
                  <w:vAlign w:val="center"/>
                  <w:hideMark/>
                </w:tcPr>
                <w:p w14:paraId="20BD69CC" w14:textId="0A632814" w:rsidR="006A3DAC" w:rsidRPr="00EE516D" w:rsidRDefault="006A3DAC" w:rsidP="00C4752A">
                  <w:pPr>
                    <w:spacing w:after="0" w:line="240" w:lineRule="auto"/>
                    <w:jc w:val="center"/>
                    <w:rPr>
                      <w:rFonts w:eastAsia="Times New Roman" w:cs="Times New Roman"/>
                      <w:b/>
                      <w:bCs/>
                      <w:sz w:val="22"/>
                    </w:rPr>
                  </w:pPr>
                  <w:r w:rsidRPr="00EE516D">
                    <w:rPr>
                      <w:rFonts w:eastAsia="Times New Roman" w:cs="Times New Roman"/>
                      <w:b/>
                      <w:bCs/>
                      <w:sz w:val="22"/>
                    </w:rPr>
                    <w:t>20,655,012,339.28</w:t>
                  </w:r>
                </w:p>
              </w:tc>
              <w:tc>
                <w:tcPr>
                  <w:tcW w:w="2070" w:type="dxa"/>
                  <w:tcBorders>
                    <w:top w:val="nil"/>
                    <w:left w:val="nil"/>
                    <w:bottom w:val="nil"/>
                    <w:right w:val="nil"/>
                  </w:tcBorders>
                  <w:shd w:val="clear" w:color="auto" w:fill="auto"/>
                  <w:vAlign w:val="center"/>
                </w:tcPr>
                <w:p w14:paraId="1D907A79" w14:textId="0FFB031C" w:rsidR="006A3DAC" w:rsidRPr="00EE516D" w:rsidRDefault="003F371D" w:rsidP="006A3DAC">
                  <w:pPr>
                    <w:spacing w:after="0" w:line="240" w:lineRule="auto"/>
                    <w:jc w:val="right"/>
                    <w:rPr>
                      <w:rFonts w:eastAsia="Times New Roman" w:cs="Times New Roman"/>
                      <w:b/>
                      <w:bCs/>
                      <w:sz w:val="22"/>
                    </w:rPr>
                  </w:pPr>
                  <w:r w:rsidRPr="00EE516D">
                    <w:rPr>
                      <w:rFonts w:eastAsia="Times New Roman" w:cs="Times New Roman"/>
                      <w:b/>
                      <w:bCs/>
                      <w:sz w:val="22"/>
                    </w:rPr>
                    <w:t>9,307,716,037.23</w:t>
                  </w:r>
                </w:p>
              </w:tc>
            </w:tr>
          </w:tbl>
          <w:p w14:paraId="1D37F54D" w14:textId="1BBEDA90" w:rsidR="00D420D9" w:rsidRPr="00EE516D" w:rsidRDefault="00D420D9" w:rsidP="00B729C9">
            <w:pPr>
              <w:spacing w:after="0" w:line="240" w:lineRule="auto"/>
              <w:rPr>
                <w:rFonts w:cs="Times New Roman"/>
                <w:i/>
                <w:iCs/>
                <w:sz w:val="22"/>
                <w:highlight w:val="yellow"/>
              </w:rPr>
            </w:pPr>
          </w:p>
          <w:p w14:paraId="6A8552EF" w14:textId="031B5549" w:rsidR="008B1D5B" w:rsidRPr="00EE516D" w:rsidRDefault="008B1D5B" w:rsidP="008B1D5B">
            <w:pPr>
              <w:spacing w:after="0" w:line="240" w:lineRule="auto"/>
              <w:rPr>
                <w:rFonts w:eastAsia="Times New Roman" w:cs="Times New Roman"/>
                <w:i/>
                <w:iCs/>
                <w:color w:val="000000"/>
                <w:sz w:val="22"/>
                <w:highlight w:val="yellow"/>
                <w:lang w:eastAsia="mn-MN"/>
              </w:rPr>
            </w:pPr>
          </w:p>
        </w:tc>
      </w:tr>
      <w:tr w:rsidR="006B0BDD" w:rsidRPr="00EE516D" w14:paraId="2DC0FF4D" w14:textId="77777777" w:rsidTr="00433B17">
        <w:trPr>
          <w:trHeight w:val="722"/>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46666F71" w14:textId="77777777" w:rsidR="00367F84" w:rsidRPr="00EE516D" w:rsidRDefault="00367F84" w:rsidP="00367F84">
            <w:pPr>
              <w:spacing w:after="0" w:line="240" w:lineRule="auto"/>
              <w:jc w:val="center"/>
              <w:rPr>
                <w:rFonts w:eastAsia="Times New Roman" w:cs="Times New Roman"/>
                <w:i/>
                <w:iCs/>
                <w:color w:val="000000"/>
                <w:sz w:val="22"/>
                <w:lang w:eastAsia="mn-MN"/>
              </w:rPr>
            </w:pPr>
          </w:p>
          <w:p w14:paraId="1A6C7058" w14:textId="77777777" w:rsidR="00367F84" w:rsidRPr="00EE516D" w:rsidRDefault="00367F84" w:rsidP="00367F84">
            <w:pPr>
              <w:spacing w:after="0" w:line="240" w:lineRule="auto"/>
              <w:jc w:val="center"/>
              <w:rPr>
                <w:rFonts w:eastAsia="Times New Roman" w:cs="Times New Roman"/>
                <w:i/>
                <w:iCs/>
                <w:color w:val="000000"/>
                <w:sz w:val="22"/>
                <w:lang w:eastAsia="mn-MN"/>
              </w:rPr>
            </w:pPr>
          </w:p>
          <w:p w14:paraId="2B83B1A3" w14:textId="77777777" w:rsidR="00367F84" w:rsidRPr="00EE516D" w:rsidRDefault="00367F84" w:rsidP="00367F84">
            <w:pPr>
              <w:spacing w:after="0" w:line="240" w:lineRule="auto"/>
              <w:jc w:val="center"/>
              <w:rPr>
                <w:rFonts w:eastAsia="Times New Roman" w:cs="Times New Roman"/>
                <w:i/>
                <w:iCs/>
                <w:color w:val="000000"/>
                <w:sz w:val="22"/>
                <w:lang w:eastAsia="mn-MN"/>
              </w:rPr>
            </w:pPr>
          </w:p>
          <w:p w14:paraId="76D0FDB1" w14:textId="050FAB75" w:rsidR="008B1D5B" w:rsidRPr="00446FFE" w:rsidRDefault="00446FFE" w:rsidP="00367F84">
            <w:pPr>
              <w:spacing w:after="0" w:line="240" w:lineRule="auto"/>
              <w:jc w:val="center"/>
              <w:rPr>
                <w:rFonts w:eastAsia="Times New Roman" w:cs="Times New Roman"/>
                <w:i/>
                <w:iCs/>
                <w:color w:val="000000"/>
                <w:sz w:val="22"/>
                <w:lang w:val="en-US" w:eastAsia="mn-MN"/>
              </w:rPr>
            </w:pPr>
            <w:r>
              <w:rPr>
                <w:rFonts w:eastAsia="Times New Roman" w:cs="Times New Roman"/>
                <w:i/>
                <w:iCs/>
                <w:color w:val="000000"/>
                <w:sz w:val="22"/>
                <w:lang w:val="en-US" w:eastAsia="mn-MN"/>
              </w:rPr>
              <w:t>Statement of changes in equity</w:t>
            </w:r>
          </w:p>
        </w:tc>
        <w:tc>
          <w:tcPr>
            <w:tcW w:w="7560" w:type="dxa"/>
            <w:tcBorders>
              <w:top w:val="nil"/>
              <w:left w:val="nil"/>
              <w:bottom w:val="single" w:sz="4" w:space="0" w:color="auto"/>
              <w:right w:val="single" w:sz="4" w:space="0" w:color="auto"/>
            </w:tcBorders>
            <w:shd w:val="clear" w:color="auto" w:fill="FFFFFF" w:themeFill="background1"/>
            <w:hideMark/>
          </w:tcPr>
          <w:tbl>
            <w:tblPr>
              <w:tblpPr w:leftFromText="180" w:rightFromText="180" w:vertAnchor="text" w:horzAnchor="page" w:tblpX="737" w:tblpY="-174"/>
              <w:tblOverlap w:val="never"/>
              <w:tblW w:w="6120" w:type="dxa"/>
              <w:tblLayout w:type="fixed"/>
              <w:tblCellMar>
                <w:left w:w="0" w:type="dxa"/>
                <w:right w:w="0" w:type="dxa"/>
              </w:tblCellMar>
              <w:tblLook w:val="04A0" w:firstRow="1" w:lastRow="0" w:firstColumn="1" w:lastColumn="0" w:noHBand="0" w:noVBand="1"/>
            </w:tblPr>
            <w:tblGrid>
              <w:gridCol w:w="2430"/>
              <w:gridCol w:w="1890"/>
              <w:gridCol w:w="1800"/>
            </w:tblGrid>
            <w:tr w:rsidR="004E0B91" w:rsidRPr="00EE516D" w14:paraId="42663D7D" w14:textId="77777777" w:rsidTr="00A66D4E">
              <w:trPr>
                <w:trHeight w:val="174"/>
              </w:trPr>
              <w:tc>
                <w:tcPr>
                  <w:tcW w:w="2430" w:type="dxa"/>
                  <w:tcBorders>
                    <w:top w:val="single" w:sz="4" w:space="0" w:color="auto"/>
                    <w:left w:val="nil"/>
                    <w:bottom w:val="single" w:sz="4" w:space="0" w:color="auto"/>
                    <w:right w:val="nil"/>
                  </w:tcBorders>
                  <w:shd w:val="clear" w:color="000000" w:fill="FFFFFF"/>
                  <w:vAlign w:val="center"/>
                  <w:hideMark/>
                </w:tcPr>
                <w:p w14:paraId="5BC317C3" w14:textId="744AA637" w:rsidR="004E0B91" w:rsidRPr="00446FFE" w:rsidRDefault="00446FFE" w:rsidP="00106B26">
                  <w:pPr>
                    <w:jc w:val="center"/>
                    <w:rPr>
                      <w:rFonts w:cs="Times New Roman"/>
                      <w:b/>
                      <w:bCs/>
                      <w:sz w:val="22"/>
                      <w:lang w:val="en-US"/>
                    </w:rPr>
                  </w:pPr>
                  <w:r>
                    <w:rPr>
                      <w:rFonts w:cs="Times New Roman"/>
                      <w:b/>
                      <w:bCs/>
                      <w:sz w:val="22"/>
                      <w:lang w:val="en-US"/>
                    </w:rPr>
                    <w:t>Items</w:t>
                  </w:r>
                </w:p>
              </w:tc>
              <w:tc>
                <w:tcPr>
                  <w:tcW w:w="1890" w:type="dxa"/>
                  <w:tcBorders>
                    <w:top w:val="single" w:sz="4" w:space="0" w:color="auto"/>
                    <w:left w:val="nil"/>
                    <w:bottom w:val="single" w:sz="4" w:space="0" w:color="auto"/>
                    <w:right w:val="nil"/>
                  </w:tcBorders>
                  <w:shd w:val="clear" w:color="000000" w:fill="FFFFFF"/>
                  <w:vAlign w:val="center"/>
                  <w:hideMark/>
                </w:tcPr>
                <w:p w14:paraId="667389C6" w14:textId="45B8E7B7" w:rsidR="004E0B91" w:rsidRPr="00EE516D" w:rsidRDefault="004E0B91" w:rsidP="004E0B91">
                  <w:pPr>
                    <w:jc w:val="center"/>
                    <w:rPr>
                      <w:rFonts w:cs="Times New Roman"/>
                      <w:b/>
                      <w:bCs/>
                      <w:sz w:val="22"/>
                    </w:rPr>
                  </w:pPr>
                  <w:r w:rsidRPr="00EE516D">
                    <w:rPr>
                      <w:rFonts w:cs="Times New Roman"/>
                      <w:b/>
                      <w:bCs/>
                      <w:sz w:val="22"/>
                    </w:rPr>
                    <w:t>1/1/202</w:t>
                  </w:r>
                  <w:r w:rsidR="00E773ED" w:rsidRPr="00EE516D">
                    <w:rPr>
                      <w:rFonts w:cs="Times New Roman"/>
                      <w:b/>
                      <w:bCs/>
                      <w:sz w:val="22"/>
                    </w:rPr>
                    <w:t>3</w:t>
                  </w:r>
                </w:p>
              </w:tc>
              <w:tc>
                <w:tcPr>
                  <w:tcW w:w="1800" w:type="dxa"/>
                  <w:tcBorders>
                    <w:top w:val="single" w:sz="4" w:space="0" w:color="auto"/>
                    <w:left w:val="nil"/>
                    <w:bottom w:val="single" w:sz="4" w:space="0" w:color="auto"/>
                    <w:right w:val="nil"/>
                  </w:tcBorders>
                  <w:shd w:val="clear" w:color="000000" w:fill="FFFFFF"/>
                  <w:vAlign w:val="center"/>
                  <w:hideMark/>
                </w:tcPr>
                <w:p w14:paraId="79796D62" w14:textId="0F57EBA0" w:rsidR="004E0B91" w:rsidRPr="00EE516D" w:rsidRDefault="004E0B91" w:rsidP="004E0B91">
                  <w:pPr>
                    <w:jc w:val="center"/>
                    <w:rPr>
                      <w:rFonts w:cs="Times New Roman"/>
                      <w:b/>
                      <w:bCs/>
                      <w:sz w:val="22"/>
                    </w:rPr>
                  </w:pPr>
                  <w:r w:rsidRPr="00EE516D">
                    <w:rPr>
                      <w:rFonts w:cs="Times New Roman"/>
                      <w:b/>
                      <w:bCs/>
                      <w:sz w:val="22"/>
                    </w:rPr>
                    <w:t>12/31/202</w:t>
                  </w:r>
                  <w:r w:rsidR="00E773ED" w:rsidRPr="00EE516D">
                    <w:rPr>
                      <w:rFonts w:cs="Times New Roman"/>
                      <w:b/>
                      <w:bCs/>
                      <w:sz w:val="22"/>
                    </w:rPr>
                    <w:t>3</w:t>
                  </w:r>
                </w:p>
              </w:tc>
            </w:tr>
            <w:tr w:rsidR="006C2125" w:rsidRPr="00EE516D" w14:paraId="65019828" w14:textId="77777777" w:rsidTr="00A66D4E">
              <w:trPr>
                <w:trHeight w:val="452"/>
              </w:trPr>
              <w:tc>
                <w:tcPr>
                  <w:tcW w:w="2430" w:type="dxa"/>
                  <w:tcBorders>
                    <w:top w:val="nil"/>
                    <w:left w:val="nil"/>
                    <w:bottom w:val="nil"/>
                    <w:right w:val="nil"/>
                  </w:tcBorders>
                  <w:shd w:val="clear" w:color="000000" w:fill="FFFFFF"/>
                  <w:hideMark/>
                </w:tcPr>
                <w:p w14:paraId="6751CC09" w14:textId="33507BD0" w:rsidR="006C2125" w:rsidRPr="00446FFE" w:rsidRDefault="00446FFE" w:rsidP="006C2125">
                  <w:pPr>
                    <w:rPr>
                      <w:rFonts w:cs="Times New Roman"/>
                      <w:sz w:val="22"/>
                      <w:lang w:val="en-US"/>
                    </w:rPr>
                  </w:pPr>
                  <w:r>
                    <w:rPr>
                      <w:rFonts w:cs="Times New Roman"/>
                      <w:sz w:val="22"/>
                      <w:lang w:val="en-US"/>
                    </w:rPr>
                    <w:t>Equity</w:t>
                  </w:r>
                </w:p>
              </w:tc>
              <w:tc>
                <w:tcPr>
                  <w:tcW w:w="1890" w:type="dxa"/>
                  <w:tcBorders>
                    <w:top w:val="nil"/>
                    <w:left w:val="nil"/>
                    <w:bottom w:val="nil"/>
                    <w:right w:val="nil"/>
                  </w:tcBorders>
                  <w:shd w:val="clear" w:color="auto" w:fill="auto"/>
                  <w:hideMark/>
                </w:tcPr>
                <w:p w14:paraId="480D5720" w14:textId="6DDBB5C4" w:rsidR="006C2125" w:rsidRPr="00EE516D" w:rsidRDefault="006C2125" w:rsidP="00C4752A">
                  <w:pPr>
                    <w:jc w:val="center"/>
                    <w:rPr>
                      <w:rFonts w:cs="Times New Roman"/>
                      <w:sz w:val="22"/>
                    </w:rPr>
                  </w:pPr>
                  <w:r w:rsidRPr="00EE516D">
                    <w:rPr>
                      <w:rFonts w:cs="Times New Roman"/>
                      <w:sz w:val="22"/>
                    </w:rPr>
                    <w:t>23,130,593,600.00</w:t>
                  </w:r>
                </w:p>
              </w:tc>
              <w:tc>
                <w:tcPr>
                  <w:tcW w:w="1800" w:type="dxa"/>
                  <w:tcBorders>
                    <w:top w:val="nil"/>
                    <w:left w:val="nil"/>
                    <w:bottom w:val="nil"/>
                    <w:right w:val="nil"/>
                  </w:tcBorders>
                  <w:shd w:val="clear" w:color="auto" w:fill="auto"/>
                  <w:noWrap/>
                </w:tcPr>
                <w:p w14:paraId="42D44902" w14:textId="32FCDBB1" w:rsidR="006C2125" w:rsidRPr="00EE516D" w:rsidRDefault="00DB1F4F" w:rsidP="00C4752A">
                  <w:pPr>
                    <w:jc w:val="center"/>
                    <w:rPr>
                      <w:rFonts w:cs="Times New Roman"/>
                      <w:sz w:val="22"/>
                    </w:rPr>
                  </w:pPr>
                  <w:r w:rsidRPr="00EE516D">
                    <w:rPr>
                      <w:rFonts w:cs="Times New Roman"/>
                      <w:sz w:val="22"/>
                    </w:rPr>
                    <w:t>35,046,353,900.00</w:t>
                  </w:r>
                </w:p>
              </w:tc>
            </w:tr>
            <w:tr w:rsidR="006C2125" w:rsidRPr="00EE516D" w14:paraId="609ED281" w14:textId="77777777" w:rsidTr="00A66D4E">
              <w:trPr>
                <w:trHeight w:val="436"/>
              </w:trPr>
              <w:tc>
                <w:tcPr>
                  <w:tcW w:w="2430" w:type="dxa"/>
                  <w:tcBorders>
                    <w:top w:val="nil"/>
                    <w:left w:val="nil"/>
                    <w:bottom w:val="nil"/>
                    <w:right w:val="nil"/>
                  </w:tcBorders>
                  <w:shd w:val="clear" w:color="000000" w:fill="FFFFFF"/>
                  <w:hideMark/>
                </w:tcPr>
                <w:p w14:paraId="09372CD9" w14:textId="22DC474D" w:rsidR="006C2125" w:rsidRPr="00446FFE" w:rsidRDefault="00446FFE" w:rsidP="006C2125">
                  <w:pPr>
                    <w:rPr>
                      <w:rFonts w:cs="Times New Roman"/>
                      <w:sz w:val="22"/>
                      <w:lang w:val="en-US"/>
                    </w:rPr>
                  </w:pPr>
                  <w:r>
                    <w:rPr>
                      <w:rFonts w:cs="Times New Roman"/>
                      <w:sz w:val="22"/>
                      <w:lang w:val="en-US"/>
                    </w:rPr>
                    <w:t>Revaluation reserve</w:t>
                  </w:r>
                </w:p>
              </w:tc>
              <w:tc>
                <w:tcPr>
                  <w:tcW w:w="1890" w:type="dxa"/>
                  <w:tcBorders>
                    <w:top w:val="nil"/>
                    <w:left w:val="nil"/>
                    <w:bottom w:val="nil"/>
                    <w:right w:val="nil"/>
                  </w:tcBorders>
                  <w:shd w:val="clear" w:color="000000" w:fill="FFFFFF"/>
                  <w:noWrap/>
                  <w:hideMark/>
                </w:tcPr>
                <w:p w14:paraId="24C02D0B" w14:textId="4452AC63" w:rsidR="006C2125" w:rsidRPr="00EE516D" w:rsidRDefault="006C2125" w:rsidP="00C4752A">
                  <w:pPr>
                    <w:jc w:val="center"/>
                    <w:rPr>
                      <w:rFonts w:cs="Times New Roman"/>
                      <w:sz w:val="22"/>
                    </w:rPr>
                  </w:pPr>
                  <w:r w:rsidRPr="00EE516D">
                    <w:rPr>
                      <w:rFonts w:cs="Times New Roman"/>
                      <w:sz w:val="22"/>
                    </w:rPr>
                    <w:t>20,021,146,332.29</w:t>
                  </w:r>
                </w:p>
              </w:tc>
              <w:tc>
                <w:tcPr>
                  <w:tcW w:w="1800" w:type="dxa"/>
                  <w:tcBorders>
                    <w:top w:val="nil"/>
                    <w:left w:val="nil"/>
                    <w:bottom w:val="nil"/>
                    <w:right w:val="nil"/>
                  </w:tcBorders>
                  <w:shd w:val="clear" w:color="auto" w:fill="auto"/>
                  <w:noWrap/>
                </w:tcPr>
                <w:p w14:paraId="7B8CB8EA" w14:textId="109D7619" w:rsidR="006C2125" w:rsidRPr="00EE516D" w:rsidRDefault="00DB1F4F" w:rsidP="00C4752A">
                  <w:pPr>
                    <w:jc w:val="center"/>
                    <w:rPr>
                      <w:rFonts w:cs="Times New Roman"/>
                      <w:sz w:val="22"/>
                    </w:rPr>
                  </w:pPr>
                  <w:r w:rsidRPr="00EE516D">
                    <w:rPr>
                      <w:rFonts w:cs="Times New Roman"/>
                      <w:sz w:val="22"/>
                    </w:rPr>
                    <w:t>20,021,146,332.29</w:t>
                  </w:r>
                </w:p>
              </w:tc>
            </w:tr>
            <w:tr w:rsidR="006C2125" w:rsidRPr="00EE516D" w14:paraId="6B4684FA" w14:textId="77777777" w:rsidTr="00A66D4E">
              <w:trPr>
                <w:trHeight w:val="238"/>
              </w:trPr>
              <w:tc>
                <w:tcPr>
                  <w:tcW w:w="2430" w:type="dxa"/>
                  <w:tcBorders>
                    <w:top w:val="nil"/>
                    <w:left w:val="nil"/>
                    <w:bottom w:val="nil"/>
                    <w:right w:val="nil"/>
                  </w:tcBorders>
                  <w:shd w:val="clear" w:color="000000" w:fill="FFFFFF"/>
                  <w:hideMark/>
                </w:tcPr>
                <w:p w14:paraId="47FE9579" w14:textId="352B5169" w:rsidR="006C2125" w:rsidRPr="00446FFE" w:rsidRDefault="00446FFE" w:rsidP="006C2125">
                  <w:pPr>
                    <w:rPr>
                      <w:rFonts w:cs="Times New Roman"/>
                      <w:sz w:val="22"/>
                      <w:lang w:val="en-US"/>
                    </w:rPr>
                  </w:pPr>
                  <w:r>
                    <w:rPr>
                      <w:rFonts w:cs="Times New Roman"/>
                      <w:sz w:val="22"/>
                      <w:lang w:val="en-US"/>
                    </w:rPr>
                    <w:t>Other components of equity</w:t>
                  </w:r>
                </w:p>
              </w:tc>
              <w:tc>
                <w:tcPr>
                  <w:tcW w:w="1890" w:type="dxa"/>
                  <w:tcBorders>
                    <w:top w:val="nil"/>
                    <w:left w:val="nil"/>
                    <w:bottom w:val="nil"/>
                    <w:right w:val="nil"/>
                  </w:tcBorders>
                  <w:shd w:val="clear" w:color="000000" w:fill="FFFFFF"/>
                  <w:noWrap/>
                  <w:hideMark/>
                </w:tcPr>
                <w:p w14:paraId="0CB93168" w14:textId="13F959EA" w:rsidR="006C2125" w:rsidRPr="00EE516D" w:rsidRDefault="006C2125" w:rsidP="00C4752A">
                  <w:pPr>
                    <w:jc w:val="center"/>
                    <w:rPr>
                      <w:rFonts w:cs="Times New Roman"/>
                      <w:sz w:val="22"/>
                    </w:rPr>
                  </w:pPr>
                  <w:r w:rsidRPr="00EE516D">
                    <w:rPr>
                      <w:rFonts w:cs="Times New Roman"/>
                      <w:sz w:val="22"/>
                    </w:rPr>
                    <w:t>446,321,902.02</w:t>
                  </w:r>
                </w:p>
              </w:tc>
              <w:tc>
                <w:tcPr>
                  <w:tcW w:w="1800" w:type="dxa"/>
                  <w:tcBorders>
                    <w:top w:val="nil"/>
                    <w:left w:val="nil"/>
                    <w:bottom w:val="nil"/>
                    <w:right w:val="nil"/>
                  </w:tcBorders>
                  <w:shd w:val="clear" w:color="auto" w:fill="auto"/>
                </w:tcPr>
                <w:p w14:paraId="37A90C38" w14:textId="7495A276" w:rsidR="006C2125" w:rsidRPr="00EE516D" w:rsidRDefault="00DB1F4F" w:rsidP="00C4752A">
                  <w:pPr>
                    <w:jc w:val="center"/>
                    <w:rPr>
                      <w:rFonts w:cs="Times New Roman"/>
                      <w:sz w:val="22"/>
                    </w:rPr>
                  </w:pPr>
                  <w:r w:rsidRPr="00EE516D">
                    <w:rPr>
                      <w:rFonts w:cs="Times New Roman"/>
                      <w:sz w:val="22"/>
                    </w:rPr>
                    <w:t>446,321,902.02</w:t>
                  </w:r>
                </w:p>
              </w:tc>
            </w:tr>
            <w:tr w:rsidR="006C2125" w:rsidRPr="00EE516D" w14:paraId="7CD96C88" w14:textId="77777777" w:rsidTr="00A66D4E">
              <w:trPr>
                <w:trHeight w:val="65"/>
              </w:trPr>
              <w:tc>
                <w:tcPr>
                  <w:tcW w:w="2430" w:type="dxa"/>
                  <w:tcBorders>
                    <w:top w:val="nil"/>
                    <w:left w:val="nil"/>
                    <w:bottom w:val="nil"/>
                    <w:right w:val="nil"/>
                  </w:tcBorders>
                  <w:shd w:val="clear" w:color="000000" w:fill="FFFFFF"/>
                  <w:hideMark/>
                </w:tcPr>
                <w:p w14:paraId="0B685359" w14:textId="0B8EC285" w:rsidR="006C2125" w:rsidRPr="00446FFE" w:rsidRDefault="00446FFE" w:rsidP="006C2125">
                  <w:pPr>
                    <w:rPr>
                      <w:rFonts w:cs="Times New Roman"/>
                      <w:sz w:val="22"/>
                      <w:lang w:val="en-US"/>
                    </w:rPr>
                  </w:pPr>
                  <w:r>
                    <w:rPr>
                      <w:rFonts w:cs="Times New Roman"/>
                      <w:sz w:val="22"/>
                      <w:lang w:val="en-US"/>
                    </w:rPr>
                    <w:t>Retained earnings</w:t>
                  </w:r>
                </w:p>
              </w:tc>
              <w:tc>
                <w:tcPr>
                  <w:tcW w:w="1890" w:type="dxa"/>
                  <w:tcBorders>
                    <w:top w:val="nil"/>
                    <w:left w:val="nil"/>
                    <w:bottom w:val="nil"/>
                    <w:right w:val="nil"/>
                  </w:tcBorders>
                  <w:shd w:val="clear" w:color="000000" w:fill="FFFFFF"/>
                  <w:noWrap/>
                  <w:hideMark/>
                </w:tcPr>
                <w:p w14:paraId="3C523FCB" w14:textId="3F55587C" w:rsidR="006C2125" w:rsidRPr="00EE516D" w:rsidRDefault="006C2125" w:rsidP="00C4752A">
                  <w:pPr>
                    <w:jc w:val="center"/>
                    <w:rPr>
                      <w:rFonts w:cs="Times New Roman"/>
                      <w:sz w:val="22"/>
                    </w:rPr>
                  </w:pPr>
                  <w:r w:rsidRPr="00EE516D">
                    <w:rPr>
                      <w:rFonts w:cs="Times New Roman"/>
                      <w:sz w:val="22"/>
                    </w:rPr>
                    <w:t>(20,105,864,784.03)</w:t>
                  </w:r>
                </w:p>
              </w:tc>
              <w:tc>
                <w:tcPr>
                  <w:tcW w:w="1800" w:type="dxa"/>
                  <w:tcBorders>
                    <w:top w:val="nil"/>
                    <w:left w:val="nil"/>
                    <w:bottom w:val="nil"/>
                    <w:right w:val="nil"/>
                  </w:tcBorders>
                  <w:shd w:val="clear" w:color="auto" w:fill="auto"/>
                  <w:noWrap/>
                </w:tcPr>
                <w:p w14:paraId="3A662D02" w14:textId="0AA291FD" w:rsidR="006C2125" w:rsidRPr="00EE516D" w:rsidRDefault="00DB1F4F" w:rsidP="00C4752A">
                  <w:pPr>
                    <w:jc w:val="center"/>
                    <w:rPr>
                      <w:rFonts w:cs="Times New Roman"/>
                      <w:sz w:val="22"/>
                      <w:lang w:val="en-US"/>
                    </w:rPr>
                  </w:pPr>
                  <w:r w:rsidRPr="00EE516D">
                    <w:rPr>
                      <w:rFonts w:cs="Times New Roman"/>
                      <w:sz w:val="22"/>
                      <w:lang w:val="en-US"/>
                    </w:rPr>
                    <w:t>(</w:t>
                  </w:r>
                  <w:r w:rsidRPr="00EE516D">
                    <w:rPr>
                      <w:rFonts w:cs="Times New Roman"/>
                      <w:sz w:val="22"/>
                    </w:rPr>
                    <w:t>11,434,011,346.80</w:t>
                  </w:r>
                  <w:r w:rsidRPr="00EE516D">
                    <w:rPr>
                      <w:rFonts w:cs="Times New Roman"/>
                      <w:sz w:val="22"/>
                      <w:lang w:val="en-US"/>
                    </w:rPr>
                    <w:t>)</w:t>
                  </w:r>
                </w:p>
              </w:tc>
            </w:tr>
            <w:tr w:rsidR="006C2125" w:rsidRPr="00EE516D" w14:paraId="4F431B5A" w14:textId="77777777" w:rsidTr="00A66D4E">
              <w:trPr>
                <w:trHeight w:val="178"/>
              </w:trPr>
              <w:tc>
                <w:tcPr>
                  <w:tcW w:w="2430" w:type="dxa"/>
                  <w:tcBorders>
                    <w:top w:val="nil"/>
                    <w:left w:val="nil"/>
                    <w:bottom w:val="nil"/>
                    <w:right w:val="nil"/>
                  </w:tcBorders>
                  <w:shd w:val="clear" w:color="000000" w:fill="FFFFFF"/>
                  <w:hideMark/>
                </w:tcPr>
                <w:p w14:paraId="3C259032" w14:textId="1457E064" w:rsidR="006C2125" w:rsidRPr="00446FFE" w:rsidRDefault="00446FFE" w:rsidP="006C2125">
                  <w:pPr>
                    <w:rPr>
                      <w:rFonts w:cs="Times New Roman"/>
                      <w:b/>
                      <w:bCs/>
                      <w:sz w:val="22"/>
                      <w:lang w:val="en-US"/>
                    </w:rPr>
                  </w:pPr>
                  <w:r>
                    <w:rPr>
                      <w:rFonts w:cs="Times New Roman"/>
                      <w:b/>
                      <w:bCs/>
                      <w:sz w:val="22"/>
                      <w:lang w:val="en-US"/>
                    </w:rPr>
                    <w:t>Total equity</w:t>
                  </w:r>
                </w:p>
              </w:tc>
              <w:tc>
                <w:tcPr>
                  <w:tcW w:w="1890" w:type="dxa"/>
                  <w:tcBorders>
                    <w:top w:val="nil"/>
                    <w:left w:val="nil"/>
                    <w:bottom w:val="nil"/>
                    <w:right w:val="nil"/>
                  </w:tcBorders>
                  <w:shd w:val="clear" w:color="000000" w:fill="FFFFFF"/>
                  <w:noWrap/>
                  <w:hideMark/>
                </w:tcPr>
                <w:p w14:paraId="0819B27F" w14:textId="05A57018" w:rsidR="006C2125" w:rsidRPr="00EE516D" w:rsidRDefault="006C2125" w:rsidP="00C4752A">
                  <w:pPr>
                    <w:jc w:val="center"/>
                    <w:rPr>
                      <w:rFonts w:cs="Times New Roman"/>
                      <w:b/>
                      <w:bCs/>
                      <w:sz w:val="22"/>
                    </w:rPr>
                  </w:pPr>
                  <w:r w:rsidRPr="00EE516D">
                    <w:rPr>
                      <w:rFonts w:cs="Times New Roman"/>
                      <w:b/>
                      <w:bCs/>
                      <w:sz w:val="22"/>
                    </w:rPr>
                    <w:t>23,492,197,050.28</w:t>
                  </w:r>
                </w:p>
              </w:tc>
              <w:tc>
                <w:tcPr>
                  <w:tcW w:w="1800" w:type="dxa"/>
                  <w:tcBorders>
                    <w:top w:val="nil"/>
                    <w:left w:val="nil"/>
                    <w:bottom w:val="nil"/>
                    <w:right w:val="nil"/>
                  </w:tcBorders>
                  <w:shd w:val="clear" w:color="000000" w:fill="FFFFFF"/>
                  <w:noWrap/>
                </w:tcPr>
                <w:p w14:paraId="5CE16DEE" w14:textId="18FCAC16" w:rsidR="006C2125" w:rsidRPr="00EE516D" w:rsidRDefault="008E0298" w:rsidP="00C4752A">
                  <w:pPr>
                    <w:jc w:val="center"/>
                    <w:rPr>
                      <w:rFonts w:cs="Times New Roman"/>
                      <w:b/>
                      <w:bCs/>
                      <w:sz w:val="22"/>
                    </w:rPr>
                  </w:pPr>
                  <w:r w:rsidRPr="00EE516D">
                    <w:rPr>
                      <w:rFonts w:cs="Times New Roman"/>
                      <w:b/>
                      <w:bCs/>
                      <w:sz w:val="22"/>
                      <w:lang w:val="en-US"/>
                    </w:rPr>
                    <w:t>44</w:t>
                  </w:r>
                  <w:r w:rsidRPr="00EE516D">
                    <w:rPr>
                      <w:rFonts w:cs="Times New Roman"/>
                      <w:b/>
                      <w:bCs/>
                      <w:sz w:val="22"/>
                    </w:rPr>
                    <w:t>,079,810,787.51</w:t>
                  </w:r>
                </w:p>
              </w:tc>
            </w:tr>
          </w:tbl>
          <w:p w14:paraId="045C7815" w14:textId="16D975E6" w:rsidR="0037000A" w:rsidRPr="00EE516D" w:rsidRDefault="0037000A" w:rsidP="00B729C9">
            <w:pPr>
              <w:rPr>
                <w:rFonts w:cs="Times New Roman"/>
                <w:i/>
                <w:iCs/>
                <w:sz w:val="22"/>
                <w:highlight w:val="yellow"/>
              </w:rPr>
            </w:pPr>
          </w:p>
          <w:p w14:paraId="2F8CA9A2" w14:textId="425484B7" w:rsidR="00A26BDE" w:rsidRPr="00EE516D" w:rsidRDefault="00A26BDE" w:rsidP="00B729C9">
            <w:pPr>
              <w:rPr>
                <w:rFonts w:cs="Times New Roman"/>
                <w:i/>
                <w:iCs/>
                <w:sz w:val="22"/>
                <w:highlight w:val="yellow"/>
              </w:rPr>
            </w:pPr>
          </w:p>
          <w:p w14:paraId="3F744AA7" w14:textId="6B60D144" w:rsidR="00A26BDE" w:rsidRPr="00EE516D" w:rsidRDefault="00A26BDE" w:rsidP="00B729C9">
            <w:pPr>
              <w:rPr>
                <w:rFonts w:cs="Times New Roman"/>
                <w:i/>
                <w:iCs/>
                <w:sz w:val="22"/>
                <w:highlight w:val="yellow"/>
              </w:rPr>
            </w:pPr>
          </w:p>
          <w:p w14:paraId="7C490D6B" w14:textId="1994BB7B" w:rsidR="00A26BDE" w:rsidRPr="00EE516D" w:rsidRDefault="00A26BDE" w:rsidP="00B729C9">
            <w:pPr>
              <w:rPr>
                <w:rFonts w:cs="Times New Roman"/>
                <w:i/>
                <w:iCs/>
                <w:sz w:val="22"/>
                <w:highlight w:val="yellow"/>
              </w:rPr>
            </w:pPr>
          </w:p>
          <w:p w14:paraId="79E93007" w14:textId="77777777" w:rsidR="00A26BDE" w:rsidRPr="00EE516D" w:rsidRDefault="00A26BDE" w:rsidP="00B729C9">
            <w:pPr>
              <w:rPr>
                <w:rFonts w:cs="Times New Roman"/>
                <w:i/>
                <w:iCs/>
                <w:sz w:val="22"/>
                <w:highlight w:val="yellow"/>
              </w:rPr>
            </w:pPr>
          </w:p>
          <w:p w14:paraId="4AA16C35" w14:textId="34D21DCA" w:rsidR="008B1D5B" w:rsidRPr="00EE516D" w:rsidRDefault="0037000A" w:rsidP="008B1D5B">
            <w:pPr>
              <w:spacing w:after="0" w:line="240" w:lineRule="auto"/>
              <w:rPr>
                <w:rFonts w:eastAsia="Times New Roman" w:cs="Times New Roman"/>
                <w:i/>
                <w:iCs/>
                <w:color w:val="000000"/>
                <w:sz w:val="22"/>
                <w:highlight w:val="yellow"/>
                <w:lang w:eastAsia="mn-MN"/>
              </w:rPr>
            </w:pPr>
            <w:r w:rsidRPr="00EE516D">
              <w:rPr>
                <w:rFonts w:eastAsia="Times New Roman" w:cs="Times New Roman"/>
                <w:i/>
                <w:iCs/>
                <w:color w:val="000000"/>
                <w:sz w:val="22"/>
                <w:highlight w:val="yellow"/>
                <w:lang w:eastAsia="mn-MN"/>
              </w:rPr>
              <w:t xml:space="preserve"> </w:t>
            </w:r>
          </w:p>
        </w:tc>
      </w:tr>
      <w:tr w:rsidR="006B0BDD" w:rsidRPr="00EE516D" w14:paraId="2A4489FC" w14:textId="77777777" w:rsidTr="00433B17">
        <w:trPr>
          <w:trHeight w:val="596"/>
        </w:trPr>
        <w:tc>
          <w:tcPr>
            <w:tcW w:w="3150"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hideMark/>
          </w:tcPr>
          <w:p w14:paraId="1DD09CEA" w14:textId="77777777" w:rsidR="00A26BDE" w:rsidRPr="00EE516D" w:rsidRDefault="00A26BDE" w:rsidP="008B1D5B">
            <w:pPr>
              <w:spacing w:after="0" w:line="240" w:lineRule="auto"/>
              <w:rPr>
                <w:rFonts w:eastAsia="Times New Roman" w:cs="Times New Roman"/>
                <w:i/>
                <w:iCs/>
                <w:color w:val="000000"/>
                <w:sz w:val="22"/>
                <w:lang w:eastAsia="mn-MN"/>
              </w:rPr>
            </w:pPr>
          </w:p>
          <w:p w14:paraId="6639CC2B" w14:textId="77777777" w:rsidR="00A26BDE" w:rsidRPr="00EE516D" w:rsidRDefault="00A26BDE" w:rsidP="008B1D5B">
            <w:pPr>
              <w:spacing w:after="0" w:line="240" w:lineRule="auto"/>
              <w:rPr>
                <w:rFonts w:eastAsia="Times New Roman" w:cs="Times New Roman"/>
                <w:i/>
                <w:iCs/>
                <w:color w:val="000000"/>
                <w:sz w:val="22"/>
                <w:lang w:eastAsia="mn-MN"/>
              </w:rPr>
            </w:pPr>
          </w:p>
          <w:p w14:paraId="74F760BB" w14:textId="77777777" w:rsidR="00A26BDE" w:rsidRPr="00EE516D" w:rsidRDefault="00A26BDE" w:rsidP="008B1D5B">
            <w:pPr>
              <w:spacing w:after="0" w:line="240" w:lineRule="auto"/>
              <w:rPr>
                <w:rFonts w:eastAsia="Times New Roman" w:cs="Times New Roman"/>
                <w:i/>
                <w:iCs/>
                <w:color w:val="000000"/>
                <w:sz w:val="22"/>
                <w:lang w:eastAsia="mn-MN"/>
              </w:rPr>
            </w:pPr>
          </w:p>
          <w:p w14:paraId="24B32406" w14:textId="77777777" w:rsidR="00A26BDE" w:rsidRPr="00EE516D" w:rsidRDefault="00A26BDE" w:rsidP="008B1D5B">
            <w:pPr>
              <w:spacing w:after="0" w:line="240" w:lineRule="auto"/>
              <w:rPr>
                <w:rFonts w:eastAsia="Times New Roman" w:cs="Times New Roman"/>
                <w:i/>
                <w:iCs/>
                <w:color w:val="000000"/>
                <w:sz w:val="22"/>
                <w:lang w:eastAsia="mn-MN"/>
              </w:rPr>
            </w:pPr>
          </w:p>
          <w:p w14:paraId="600F02D7" w14:textId="46D25199" w:rsidR="008B1D5B" w:rsidRPr="00446FFE" w:rsidRDefault="00446FFE" w:rsidP="00A26BDE">
            <w:pPr>
              <w:spacing w:after="0" w:line="240" w:lineRule="auto"/>
              <w:jc w:val="center"/>
              <w:rPr>
                <w:rFonts w:eastAsia="Times New Roman" w:cs="Times New Roman"/>
                <w:i/>
                <w:iCs/>
                <w:color w:val="000000"/>
                <w:sz w:val="22"/>
                <w:lang w:val="en-US" w:eastAsia="mn-MN"/>
              </w:rPr>
            </w:pPr>
            <w:r>
              <w:rPr>
                <w:rFonts w:eastAsia="Times New Roman" w:cs="Times New Roman"/>
                <w:i/>
                <w:iCs/>
                <w:color w:val="000000"/>
                <w:sz w:val="22"/>
                <w:lang w:val="en-US" w:eastAsia="mn-MN"/>
              </w:rPr>
              <w:t>Statement of cashflow</w:t>
            </w:r>
          </w:p>
        </w:tc>
        <w:tc>
          <w:tcPr>
            <w:tcW w:w="7560" w:type="dxa"/>
            <w:tcBorders>
              <w:top w:val="nil"/>
              <w:left w:val="nil"/>
              <w:bottom w:val="single" w:sz="4" w:space="0" w:color="auto"/>
              <w:right w:val="single" w:sz="4" w:space="0" w:color="auto"/>
            </w:tcBorders>
            <w:shd w:val="clear" w:color="auto" w:fill="FFFFFF" w:themeFill="background1"/>
            <w:hideMark/>
          </w:tcPr>
          <w:tbl>
            <w:tblPr>
              <w:tblW w:w="6840" w:type="dxa"/>
              <w:tblInd w:w="510" w:type="dxa"/>
              <w:tblLayout w:type="fixed"/>
              <w:tblLook w:val="04A0" w:firstRow="1" w:lastRow="0" w:firstColumn="1" w:lastColumn="0" w:noHBand="0" w:noVBand="1"/>
            </w:tblPr>
            <w:tblGrid>
              <w:gridCol w:w="2790"/>
              <w:gridCol w:w="1800"/>
              <w:gridCol w:w="270"/>
              <w:gridCol w:w="1564"/>
              <w:gridCol w:w="416"/>
            </w:tblGrid>
            <w:tr w:rsidR="00F27745" w:rsidRPr="00EE516D" w14:paraId="02607907" w14:textId="77777777" w:rsidTr="00433B17">
              <w:trPr>
                <w:gridAfter w:val="1"/>
                <w:wAfter w:w="416" w:type="dxa"/>
                <w:trHeight w:val="250"/>
              </w:trPr>
              <w:tc>
                <w:tcPr>
                  <w:tcW w:w="2790" w:type="dxa"/>
                  <w:tcBorders>
                    <w:top w:val="single" w:sz="4" w:space="0" w:color="auto"/>
                    <w:left w:val="nil"/>
                    <w:bottom w:val="single" w:sz="4" w:space="0" w:color="auto"/>
                    <w:right w:val="nil"/>
                  </w:tcBorders>
                  <w:shd w:val="clear" w:color="000000" w:fill="FFFFFF"/>
                  <w:vAlign w:val="center"/>
                  <w:hideMark/>
                </w:tcPr>
                <w:p w14:paraId="2B56A748" w14:textId="339C9EDA" w:rsidR="00F27745" w:rsidRPr="00446FFE" w:rsidRDefault="00446FFE" w:rsidP="00367F84">
                  <w:pPr>
                    <w:spacing w:after="0" w:line="240" w:lineRule="auto"/>
                    <w:jc w:val="center"/>
                    <w:rPr>
                      <w:rFonts w:eastAsia="Times New Roman" w:cs="Times New Roman"/>
                      <w:b/>
                      <w:bCs/>
                      <w:sz w:val="22"/>
                      <w:lang w:val="en-US"/>
                    </w:rPr>
                  </w:pPr>
                  <w:r>
                    <w:rPr>
                      <w:rFonts w:eastAsia="Times New Roman" w:cs="Times New Roman"/>
                      <w:b/>
                      <w:bCs/>
                      <w:sz w:val="22"/>
                      <w:lang w:val="en-US"/>
                    </w:rPr>
                    <w:t>Items</w:t>
                  </w:r>
                </w:p>
              </w:tc>
              <w:tc>
                <w:tcPr>
                  <w:tcW w:w="2070" w:type="dxa"/>
                  <w:gridSpan w:val="2"/>
                  <w:tcBorders>
                    <w:top w:val="single" w:sz="4" w:space="0" w:color="auto"/>
                    <w:left w:val="nil"/>
                    <w:bottom w:val="single" w:sz="4" w:space="0" w:color="auto"/>
                    <w:right w:val="nil"/>
                  </w:tcBorders>
                  <w:shd w:val="clear" w:color="000000" w:fill="FFFFFF"/>
                  <w:vAlign w:val="center"/>
                  <w:hideMark/>
                </w:tcPr>
                <w:p w14:paraId="365C4781" w14:textId="32DC1F6B" w:rsidR="00F27745" w:rsidRPr="00EE516D" w:rsidRDefault="00F27745" w:rsidP="00367F84">
                  <w:pPr>
                    <w:spacing w:after="0" w:line="240" w:lineRule="auto"/>
                    <w:jc w:val="center"/>
                    <w:rPr>
                      <w:rFonts w:eastAsia="Times New Roman" w:cs="Times New Roman"/>
                      <w:b/>
                      <w:bCs/>
                      <w:sz w:val="22"/>
                    </w:rPr>
                  </w:pPr>
                  <w:r w:rsidRPr="00EE516D">
                    <w:rPr>
                      <w:rFonts w:eastAsia="Times New Roman" w:cs="Times New Roman"/>
                      <w:b/>
                      <w:bCs/>
                      <w:sz w:val="22"/>
                    </w:rPr>
                    <w:t>1/1/202</w:t>
                  </w:r>
                  <w:r w:rsidR="00E773ED" w:rsidRPr="00EE516D">
                    <w:rPr>
                      <w:rFonts w:eastAsia="Times New Roman" w:cs="Times New Roman"/>
                      <w:b/>
                      <w:bCs/>
                      <w:sz w:val="22"/>
                    </w:rPr>
                    <w:t>3</w:t>
                  </w:r>
                </w:p>
              </w:tc>
              <w:tc>
                <w:tcPr>
                  <w:tcW w:w="1564" w:type="dxa"/>
                  <w:tcBorders>
                    <w:top w:val="single" w:sz="4" w:space="0" w:color="auto"/>
                    <w:left w:val="nil"/>
                    <w:bottom w:val="single" w:sz="4" w:space="0" w:color="auto"/>
                    <w:right w:val="nil"/>
                  </w:tcBorders>
                  <w:shd w:val="clear" w:color="000000" w:fill="FFFFFF"/>
                  <w:vAlign w:val="center"/>
                  <w:hideMark/>
                </w:tcPr>
                <w:p w14:paraId="0D2FEB3F" w14:textId="51D81E0E" w:rsidR="00F27745" w:rsidRPr="00EE516D" w:rsidRDefault="00F27745" w:rsidP="00367F84">
                  <w:pPr>
                    <w:spacing w:after="0" w:line="240" w:lineRule="auto"/>
                    <w:jc w:val="center"/>
                    <w:rPr>
                      <w:rFonts w:eastAsia="Times New Roman" w:cs="Times New Roman"/>
                      <w:b/>
                      <w:bCs/>
                      <w:sz w:val="22"/>
                    </w:rPr>
                  </w:pPr>
                  <w:r w:rsidRPr="00EE516D">
                    <w:rPr>
                      <w:rFonts w:eastAsia="Times New Roman" w:cs="Times New Roman"/>
                      <w:b/>
                      <w:bCs/>
                      <w:sz w:val="22"/>
                    </w:rPr>
                    <w:t>12/31/202</w:t>
                  </w:r>
                  <w:r w:rsidR="00E773ED" w:rsidRPr="00EE516D">
                    <w:rPr>
                      <w:rFonts w:eastAsia="Times New Roman" w:cs="Times New Roman"/>
                      <w:b/>
                      <w:bCs/>
                      <w:sz w:val="22"/>
                    </w:rPr>
                    <w:t>3</w:t>
                  </w:r>
                </w:p>
              </w:tc>
            </w:tr>
            <w:tr w:rsidR="001844E5" w:rsidRPr="00EE516D" w14:paraId="28D85800" w14:textId="77777777" w:rsidTr="00433B17">
              <w:trPr>
                <w:trHeight w:val="448"/>
              </w:trPr>
              <w:tc>
                <w:tcPr>
                  <w:tcW w:w="2790" w:type="dxa"/>
                  <w:tcBorders>
                    <w:top w:val="nil"/>
                    <w:left w:val="nil"/>
                    <w:bottom w:val="nil"/>
                    <w:right w:val="nil"/>
                  </w:tcBorders>
                  <w:shd w:val="clear" w:color="000000" w:fill="FFFFFF"/>
                  <w:vAlign w:val="center"/>
                  <w:hideMark/>
                </w:tcPr>
                <w:p w14:paraId="4A0FAA4E" w14:textId="2130E979" w:rsidR="001844E5" w:rsidRPr="00446FFE" w:rsidRDefault="00446FFE" w:rsidP="001844E5">
                  <w:pPr>
                    <w:spacing w:after="0" w:line="240" w:lineRule="auto"/>
                    <w:rPr>
                      <w:rFonts w:eastAsia="Times New Roman" w:cs="Times New Roman"/>
                      <w:sz w:val="22"/>
                      <w:lang w:val="en-US"/>
                    </w:rPr>
                  </w:pPr>
                  <w:r>
                    <w:rPr>
                      <w:rFonts w:eastAsia="Times New Roman" w:cs="Times New Roman"/>
                      <w:sz w:val="22"/>
                      <w:lang w:val="en-US"/>
                    </w:rPr>
                    <w:t>Net cash flows from operating activities</w:t>
                  </w:r>
                </w:p>
              </w:tc>
              <w:tc>
                <w:tcPr>
                  <w:tcW w:w="1800" w:type="dxa"/>
                  <w:tcBorders>
                    <w:top w:val="nil"/>
                    <w:left w:val="nil"/>
                    <w:bottom w:val="nil"/>
                    <w:right w:val="nil"/>
                  </w:tcBorders>
                  <w:shd w:val="clear" w:color="000000" w:fill="FFFFFF"/>
                  <w:vAlign w:val="center"/>
                  <w:hideMark/>
                </w:tcPr>
                <w:p w14:paraId="560544FC" w14:textId="23FB1503" w:rsidR="001844E5" w:rsidRPr="00EE516D" w:rsidRDefault="001844E5" w:rsidP="00C4752A">
                  <w:pPr>
                    <w:spacing w:after="0" w:line="240" w:lineRule="auto"/>
                    <w:jc w:val="center"/>
                    <w:rPr>
                      <w:rFonts w:eastAsia="Times New Roman" w:cs="Times New Roman"/>
                      <w:sz w:val="22"/>
                    </w:rPr>
                  </w:pPr>
                  <w:r w:rsidRPr="00EE516D">
                    <w:rPr>
                      <w:rFonts w:eastAsia="Times New Roman" w:cs="Times New Roman"/>
                      <w:sz w:val="22"/>
                    </w:rPr>
                    <w:t>(705,389,180.9)</w:t>
                  </w:r>
                </w:p>
              </w:tc>
              <w:tc>
                <w:tcPr>
                  <w:tcW w:w="2250" w:type="dxa"/>
                  <w:gridSpan w:val="3"/>
                  <w:tcBorders>
                    <w:top w:val="nil"/>
                    <w:left w:val="nil"/>
                    <w:bottom w:val="nil"/>
                    <w:right w:val="nil"/>
                  </w:tcBorders>
                  <w:shd w:val="clear" w:color="000000" w:fill="FFFFFF"/>
                  <w:vAlign w:val="center"/>
                </w:tcPr>
                <w:p w14:paraId="23344F71" w14:textId="5D89BE52" w:rsidR="001844E5" w:rsidRPr="00EE516D" w:rsidRDefault="003D24E5" w:rsidP="00C4752A">
                  <w:pPr>
                    <w:spacing w:after="0" w:line="240" w:lineRule="auto"/>
                    <w:jc w:val="center"/>
                    <w:rPr>
                      <w:rFonts w:eastAsia="Times New Roman" w:cs="Times New Roman"/>
                      <w:sz w:val="22"/>
                    </w:rPr>
                  </w:pPr>
                  <w:r w:rsidRPr="00EE516D">
                    <w:rPr>
                      <w:rFonts w:eastAsia="Times New Roman" w:cs="Times New Roman"/>
                      <w:sz w:val="22"/>
                      <w:lang w:val="en-US"/>
                    </w:rPr>
                    <w:t>8</w:t>
                  </w:r>
                  <w:r w:rsidRPr="00EE516D">
                    <w:rPr>
                      <w:rFonts w:eastAsia="Times New Roman" w:cs="Times New Roman"/>
                      <w:sz w:val="22"/>
                    </w:rPr>
                    <w:t>96,919,408,256.00</w:t>
                  </w:r>
                </w:p>
              </w:tc>
            </w:tr>
            <w:tr w:rsidR="001844E5" w:rsidRPr="00EE516D" w14:paraId="7A773616" w14:textId="77777777" w:rsidTr="00433B17">
              <w:trPr>
                <w:trHeight w:val="448"/>
              </w:trPr>
              <w:tc>
                <w:tcPr>
                  <w:tcW w:w="2790" w:type="dxa"/>
                  <w:tcBorders>
                    <w:top w:val="nil"/>
                    <w:left w:val="nil"/>
                    <w:bottom w:val="nil"/>
                    <w:right w:val="nil"/>
                  </w:tcBorders>
                  <w:shd w:val="clear" w:color="000000" w:fill="FFFFFF"/>
                  <w:vAlign w:val="center"/>
                  <w:hideMark/>
                </w:tcPr>
                <w:p w14:paraId="0EB4C973" w14:textId="0E5FAAB8" w:rsidR="001844E5" w:rsidRPr="00446FFE" w:rsidRDefault="00446FFE" w:rsidP="001844E5">
                  <w:pPr>
                    <w:spacing w:after="0" w:line="240" w:lineRule="auto"/>
                    <w:rPr>
                      <w:rFonts w:eastAsia="Times New Roman" w:cs="Times New Roman"/>
                      <w:sz w:val="22"/>
                      <w:lang w:val="en-US"/>
                    </w:rPr>
                  </w:pPr>
                  <w:r>
                    <w:rPr>
                      <w:rFonts w:eastAsia="Times New Roman" w:cs="Times New Roman"/>
                      <w:sz w:val="22"/>
                      <w:lang w:val="en-US"/>
                    </w:rPr>
                    <w:t>Net cash flow used in investing activities</w:t>
                  </w:r>
                </w:p>
              </w:tc>
              <w:tc>
                <w:tcPr>
                  <w:tcW w:w="1800" w:type="dxa"/>
                  <w:tcBorders>
                    <w:top w:val="nil"/>
                    <w:left w:val="nil"/>
                    <w:bottom w:val="nil"/>
                    <w:right w:val="nil"/>
                  </w:tcBorders>
                  <w:shd w:val="clear" w:color="000000" w:fill="FFFFFF"/>
                  <w:vAlign w:val="center"/>
                  <w:hideMark/>
                </w:tcPr>
                <w:p w14:paraId="48A10543" w14:textId="440F8F59" w:rsidR="001844E5" w:rsidRPr="00EE516D" w:rsidRDefault="001844E5" w:rsidP="00C4752A">
                  <w:pPr>
                    <w:spacing w:after="0" w:line="240" w:lineRule="auto"/>
                    <w:jc w:val="center"/>
                    <w:rPr>
                      <w:rFonts w:eastAsia="Times New Roman" w:cs="Times New Roman"/>
                      <w:sz w:val="22"/>
                    </w:rPr>
                  </w:pPr>
                  <w:r w:rsidRPr="00EE516D">
                    <w:rPr>
                      <w:rFonts w:eastAsia="Times New Roman" w:cs="Times New Roman"/>
                      <w:sz w:val="22"/>
                    </w:rPr>
                    <w:t>(423,392,511.6)</w:t>
                  </w:r>
                </w:p>
              </w:tc>
              <w:tc>
                <w:tcPr>
                  <w:tcW w:w="2250" w:type="dxa"/>
                  <w:gridSpan w:val="3"/>
                  <w:tcBorders>
                    <w:top w:val="nil"/>
                    <w:left w:val="nil"/>
                    <w:bottom w:val="nil"/>
                    <w:right w:val="nil"/>
                  </w:tcBorders>
                  <w:shd w:val="clear" w:color="000000" w:fill="FFFFFF"/>
                  <w:vAlign w:val="center"/>
                </w:tcPr>
                <w:p w14:paraId="6453B5ED" w14:textId="749AD01E" w:rsidR="001844E5" w:rsidRPr="00EE516D" w:rsidRDefault="003D24E5" w:rsidP="00C4752A">
                  <w:pPr>
                    <w:spacing w:after="0" w:line="240" w:lineRule="auto"/>
                    <w:jc w:val="center"/>
                    <w:rPr>
                      <w:rFonts w:eastAsia="Times New Roman" w:cs="Times New Roman"/>
                      <w:sz w:val="22"/>
                    </w:rPr>
                  </w:pPr>
                  <w:r w:rsidRPr="00EE516D">
                    <w:rPr>
                      <w:rFonts w:eastAsia="Times New Roman" w:cs="Times New Roman"/>
                      <w:sz w:val="22"/>
                      <w:lang w:val="en-US"/>
                    </w:rPr>
                    <w:t>(</w:t>
                  </w:r>
                  <w:r w:rsidRPr="00EE516D">
                    <w:rPr>
                      <w:rFonts w:eastAsia="Times New Roman" w:cs="Times New Roman"/>
                      <w:sz w:val="22"/>
                    </w:rPr>
                    <w:t>575,344,268.00</w:t>
                  </w:r>
                  <w:r w:rsidRPr="00EE516D">
                    <w:rPr>
                      <w:rFonts w:eastAsia="Times New Roman" w:cs="Times New Roman"/>
                      <w:sz w:val="22"/>
                      <w:lang w:val="en-US"/>
                    </w:rPr>
                    <w:t>)</w:t>
                  </w:r>
                </w:p>
              </w:tc>
            </w:tr>
            <w:tr w:rsidR="001844E5" w:rsidRPr="00EE516D" w14:paraId="4D717F8C" w14:textId="77777777" w:rsidTr="00433B17">
              <w:trPr>
                <w:trHeight w:val="463"/>
              </w:trPr>
              <w:tc>
                <w:tcPr>
                  <w:tcW w:w="2790" w:type="dxa"/>
                  <w:tcBorders>
                    <w:top w:val="nil"/>
                    <w:left w:val="nil"/>
                    <w:bottom w:val="nil"/>
                    <w:right w:val="nil"/>
                  </w:tcBorders>
                  <w:shd w:val="clear" w:color="000000" w:fill="FFFFFF"/>
                  <w:vAlign w:val="center"/>
                  <w:hideMark/>
                </w:tcPr>
                <w:p w14:paraId="4A62E6E6" w14:textId="44A0B190" w:rsidR="001844E5" w:rsidRPr="00446FFE" w:rsidRDefault="00446FFE" w:rsidP="001844E5">
                  <w:pPr>
                    <w:spacing w:after="0" w:line="240" w:lineRule="auto"/>
                    <w:rPr>
                      <w:rFonts w:eastAsia="Times New Roman" w:cs="Times New Roman"/>
                      <w:sz w:val="22"/>
                      <w:lang w:val="en-US"/>
                    </w:rPr>
                  </w:pPr>
                  <w:r>
                    <w:rPr>
                      <w:rFonts w:eastAsia="Times New Roman" w:cs="Times New Roman"/>
                      <w:sz w:val="22"/>
                      <w:lang w:val="en-US"/>
                    </w:rPr>
                    <w:t>Net cash used in financing activities</w:t>
                  </w:r>
                </w:p>
              </w:tc>
              <w:tc>
                <w:tcPr>
                  <w:tcW w:w="1800" w:type="dxa"/>
                  <w:tcBorders>
                    <w:top w:val="nil"/>
                    <w:left w:val="nil"/>
                    <w:bottom w:val="nil"/>
                    <w:right w:val="nil"/>
                  </w:tcBorders>
                  <w:shd w:val="clear" w:color="000000" w:fill="FFFFFF"/>
                  <w:vAlign w:val="center"/>
                  <w:hideMark/>
                </w:tcPr>
                <w:p w14:paraId="4F40D79A" w14:textId="76EC4275" w:rsidR="001844E5" w:rsidRPr="00EE516D" w:rsidRDefault="001844E5" w:rsidP="00C4752A">
                  <w:pPr>
                    <w:spacing w:after="0" w:line="240" w:lineRule="auto"/>
                    <w:jc w:val="center"/>
                    <w:rPr>
                      <w:rFonts w:eastAsia="Times New Roman" w:cs="Times New Roman"/>
                      <w:sz w:val="22"/>
                    </w:rPr>
                  </w:pPr>
                </w:p>
              </w:tc>
              <w:tc>
                <w:tcPr>
                  <w:tcW w:w="2250" w:type="dxa"/>
                  <w:gridSpan w:val="3"/>
                  <w:tcBorders>
                    <w:top w:val="nil"/>
                    <w:left w:val="nil"/>
                    <w:bottom w:val="nil"/>
                    <w:right w:val="nil"/>
                  </w:tcBorders>
                  <w:shd w:val="clear" w:color="000000" w:fill="FFFFFF"/>
                  <w:vAlign w:val="center"/>
                  <w:hideMark/>
                </w:tcPr>
                <w:p w14:paraId="059C04D1" w14:textId="4CB7E42C" w:rsidR="001844E5" w:rsidRPr="00EE516D" w:rsidRDefault="003D24E5" w:rsidP="00C4752A">
                  <w:pPr>
                    <w:spacing w:after="0" w:line="240" w:lineRule="auto"/>
                    <w:jc w:val="center"/>
                    <w:rPr>
                      <w:rFonts w:eastAsia="Times New Roman" w:cs="Times New Roman"/>
                      <w:sz w:val="22"/>
                    </w:rPr>
                  </w:pPr>
                  <w:r w:rsidRPr="00EE516D">
                    <w:rPr>
                      <w:rFonts w:eastAsia="Times New Roman" w:cs="Times New Roman"/>
                      <w:sz w:val="22"/>
                    </w:rPr>
                    <w:t>11,915,759,800.00</w:t>
                  </w:r>
                </w:p>
              </w:tc>
            </w:tr>
            <w:tr w:rsidR="001844E5" w:rsidRPr="00EE516D" w14:paraId="29B5D90C" w14:textId="77777777" w:rsidTr="00433B17">
              <w:trPr>
                <w:trHeight w:val="298"/>
              </w:trPr>
              <w:tc>
                <w:tcPr>
                  <w:tcW w:w="2790" w:type="dxa"/>
                  <w:tcBorders>
                    <w:top w:val="nil"/>
                    <w:left w:val="nil"/>
                    <w:bottom w:val="nil"/>
                    <w:right w:val="nil"/>
                  </w:tcBorders>
                  <w:shd w:val="clear" w:color="000000" w:fill="FFFFFF"/>
                  <w:vAlign w:val="center"/>
                  <w:hideMark/>
                </w:tcPr>
                <w:p w14:paraId="1636EB7D" w14:textId="53D4BB51" w:rsidR="001844E5" w:rsidRPr="00446FFE" w:rsidRDefault="00446FFE" w:rsidP="001844E5">
                  <w:pPr>
                    <w:spacing w:after="0" w:line="240" w:lineRule="auto"/>
                    <w:rPr>
                      <w:rFonts w:eastAsia="Times New Roman" w:cs="Times New Roman"/>
                      <w:b/>
                      <w:bCs/>
                      <w:sz w:val="22"/>
                      <w:lang w:val="en-US"/>
                    </w:rPr>
                  </w:pPr>
                  <w:r>
                    <w:rPr>
                      <w:rFonts w:eastAsia="Times New Roman" w:cs="Times New Roman"/>
                      <w:b/>
                      <w:bCs/>
                      <w:sz w:val="22"/>
                      <w:lang w:val="en-US"/>
                    </w:rPr>
                    <w:t>Net increase/decrease in cash and cash equivalents</w:t>
                  </w:r>
                </w:p>
              </w:tc>
              <w:tc>
                <w:tcPr>
                  <w:tcW w:w="2070" w:type="dxa"/>
                  <w:gridSpan w:val="2"/>
                  <w:tcBorders>
                    <w:top w:val="nil"/>
                    <w:left w:val="nil"/>
                    <w:bottom w:val="nil"/>
                    <w:right w:val="nil"/>
                  </w:tcBorders>
                  <w:shd w:val="clear" w:color="000000" w:fill="FFFFFF"/>
                  <w:vAlign w:val="center"/>
                  <w:hideMark/>
                </w:tcPr>
                <w:p w14:paraId="53F4D4C7" w14:textId="3EE18C0D" w:rsidR="001844E5" w:rsidRPr="00EE516D" w:rsidRDefault="001844E5" w:rsidP="00C4752A">
                  <w:pPr>
                    <w:spacing w:after="0" w:line="240" w:lineRule="auto"/>
                    <w:jc w:val="center"/>
                    <w:rPr>
                      <w:rFonts w:eastAsia="Times New Roman" w:cs="Times New Roman"/>
                      <w:b/>
                      <w:bCs/>
                      <w:sz w:val="22"/>
                    </w:rPr>
                  </w:pPr>
                  <w:r w:rsidRPr="00EE516D">
                    <w:rPr>
                      <w:rFonts w:eastAsia="Times New Roman" w:cs="Times New Roman"/>
                      <w:b/>
                      <w:bCs/>
                      <w:sz w:val="22"/>
                    </w:rPr>
                    <w:t>(997,653,812.73)</w:t>
                  </w:r>
                </w:p>
              </w:tc>
              <w:tc>
                <w:tcPr>
                  <w:tcW w:w="1980" w:type="dxa"/>
                  <w:gridSpan w:val="2"/>
                  <w:tcBorders>
                    <w:top w:val="nil"/>
                    <w:left w:val="nil"/>
                    <w:bottom w:val="nil"/>
                    <w:right w:val="nil"/>
                  </w:tcBorders>
                  <w:shd w:val="clear" w:color="000000" w:fill="FFFFFF"/>
                  <w:vAlign w:val="center"/>
                </w:tcPr>
                <w:p w14:paraId="7293C33C" w14:textId="60D552C0" w:rsidR="001844E5" w:rsidRPr="00EE516D" w:rsidRDefault="003D24E5" w:rsidP="00C4752A">
                  <w:pPr>
                    <w:spacing w:after="0" w:line="240" w:lineRule="auto"/>
                    <w:jc w:val="center"/>
                    <w:rPr>
                      <w:rFonts w:eastAsia="Times New Roman" w:cs="Times New Roman"/>
                      <w:b/>
                      <w:bCs/>
                      <w:sz w:val="22"/>
                    </w:rPr>
                  </w:pPr>
                  <w:r w:rsidRPr="00EE516D">
                    <w:rPr>
                      <w:rFonts w:eastAsia="Times New Roman" w:cs="Times New Roman"/>
                      <w:b/>
                      <w:bCs/>
                      <w:sz w:val="22"/>
                    </w:rPr>
                    <w:t>900,851,104,69</w:t>
                  </w:r>
                  <w:r w:rsidR="001F6FD3">
                    <w:rPr>
                      <w:rFonts w:eastAsia="Times New Roman" w:cs="Times New Roman"/>
                      <w:b/>
                      <w:bCs/>
                      <w:sz w:val="22"/>
                    </w:rPr>
                    <w:t>3</w:t>
                  </w:r>
                  <w:r w:rsidR="00433B17" w:rsidRPr="00EE516D">
                    <w:rPr>
                      <w:rFonts w:eastAsia="Times New Roman" w:cs="Times New Roman"/>
                      <w:b/>
                      <w:bCs/>
                      <w:sz w:val="22"/>
                    </w:rPr>
                    <w:t>.</w:t>
                  </w:r>
                  <w:r w:rsidRPr="00EE516D">
                    <w:rPr>
                      <w:rFonts w:eastAsia="Times New Roman" w:cs="Times New Roman"/>
                      <w:b/>
                      <w:bCs/>
                      <w:sz w:val="22"/>
                    </w:rPr>
                    <w:t>72</w:t>
                  </w:r>
                </w:p>
              </w:tc>
            </w:tr>
            <w:tr w:rsidR="001844E5" w:rsidRPr="00EE516D" w14:paraId="5FB3F1D4" w14:textId="77777777" w:rsidTr="00433B17">
              <w:trPr>
                <w:trHeight w:val="493"/>
              </w:trPr>
              <w:tc>
                <w:tcPr>
                  <w:tcW w:w="2790" w:type="dxa"/>
                  <w:tcBorders>
                    <w:top w:val="nil"/>
                    <w:left w:val="nil"/>
                    <w:bottom w:val="nil"/>
                    <w:right w:val="nil"/>
                  </w:tcBorders>
                  <w:shd w:val="clear" w:color="000000" w:fill="FFFFFF"/>
                  <w:vAlign w:val="center"/>
                  <w:hideMark/>
                </w:tcPr>
                <w:p w14:paraId="40546BC3" w14:textId="792CB4CD" w:rsidR="001844E5" w:rsidRPr="00446FFE" w:rsidRDefault="00446FFE" w:rsidP="001844E5">
                  <w:pPr>
                    <w:spacing w:after="0" w:line="240" w:lineRule="auto"/>
                    <w:rPr>
                      <w:rFonts w:eastAsia="Times New Roman" w:cs="Times New Roman"/>
                      <w:sz w:val="22"/>
                      <w:lang w:val="en-US"/>
                    </w:rPr>
                  </w:pPr>
                  <w:r>
                    <w:rPr>
                      <w:rFonts w:eastAsia="Times New Roman" w:cs="Times New Roman"/>
                      <w:sz w:val="22"/>
                      <w:lang w:val="en-US"/>
                    </w:rPr>
                    <w:t xml:space="preserve">Cash and cash equivalents </w:t>
                  </w:r>
                  <w:proofErr w:type="gramStart"/>
                  <w:r>
                    <w:rPr>
                      <w:rFonts w:eastAsia="Times New Roman" w:cs="Times New Roman"/>
                      <w:sz w:val="22"/>
                      <w:lang w:val="en-US"/>
                    </w:rPr>
                    <w:t>at</w:t>
                  </w:r>
                  <w:proofErr w:type="gramEnd"/>
                  <w:r>
                    <w:rPr>
                      <w:rFonts w:eastAsia="Times New Roman" w:cs="Times New Roman"/>
                      <w:sz w:val="22"/>
                      <w:lang w:val="en-US"/>
                    </w:rPr>
                    <w:t xml:space="preserve"> 31 Dec 2022</w:t>
                  </w:r>
                </w:p>
              </w:tc>
              <w:tc>
                <w:tcPr>
                  <w:tcW w:w="2070" w:type="dxa"/>
                  <w:gridSpan w:val="2"/>
                  <w:tcBorders>
                    <w:top w:val="nil"/>
                    <w:left w:val="nil"/>
                    <w:bottom w:val="nil"/>
                    <w:right w:val="nil"/>
                  </w:tcBorders>
                  <w:shd w:val="clear" w:color="000000" w:fill="FFFFFF"/>
                  <w:vAlign w:val="center"/>
                  <w:hideMark/>
                </w:tcPr>
                <w:p w14:paraId="01B6FFD8" w14:textId="77632352" w:rsidR="001844E5" w:rsidRPr="00EE516D" w:rsidRDefault="001844E5" w:rsidP="00C4752A">
                  <w:pPr>
                    <w:spacing w:after="0" w:line="240" w:lineRule="auto"/>
                    <w:jc w:val="center"/>
                    <w:rPr>
                      <w:rFonts w:eastAsia="Times New Roman" w:cs="Times New Roman"/>
                      <w:sz w:val="22"/>
                    </w:rPr>
                  </w:pPr>
                  <w:r w:rsidRPr="00EE516D">
                    <w:rPr>
                      <w:rFonts w:eastAsia="Times New Roman" w:cs="Times New Roman"/>
                      <w:sz w:val="22"/>
                    </w:rPr>
                    <w:t>2,729,363,635.92</w:t>
                  </w:r>
                </w:p>
              </w:tc>
              <w:tc>
                <w:tcPr>
                  <w:tcW w:w="1980" w:type="dxa"/>
                  <w:gridSpan w:val="2"/>
                  <w:tcBorders>
                    <w:top w:val="nil"/>
                    <w:left w:val="nil"/>
                    <w:bottom w:val="nil"/>
                    <w:right w:val="nil"/>
                  </w:tcBorders>
                  <w:shd w:val="clear" w:color="000000" w:fill="FFFFFF"/>
                  <w:vAlign w:val="center"/>
                </w:tcPr>
                <w:p w14:paraId="6481B970" w14:textId="4B90D001" w:rsidR="001844E5" w:rsidRPr="00EE516D" w:rsidRDefault="003D24E5" w:rsidP="00C4752A">
                  <w:pPr>
                    <w:spacing w:after="0" w:line="240" w:lineRule="auto"/>
                    <w:jc w:val="center"/>
                    <w:rPr>
                      <w:rFonts w:eastAsia="Times New Roman" w:cs="Times New Roman"/>
                      <w:sz w:val="22"/>
                    </w:rPr>
                  </w:pPr>
                  <w:r w:rsidRPr="00EE516D">
                    <w:rPr>
                      <w:rFonts w:eastAsia="Times New Roman" w:cs="Times New Roman"/>
                      <w:sz w:val="22"/>
                    </w:rPr>
                    <w:t>1,731,709,823.</w:t>
                  </w:r>
                  <w:r w:rsidR="001F6FD3">
                    <w:rPr>
                      <w:rFonts w:eastAsia="Times New Roman" w:cs="Times New Roman"/>
                      <w:sz w:val="22"/>
                    </w:rPr>
                    <w:t>19</w:t>
                  </w:r>
                </w:p>
              </w:tc>
            </w:tr>
            <w:tr w:rsidR="001844E5" w:rsidRPr="00EE516D" w14:paraId="054A0DAF" w14:textId="77777777" w:rsidTr="00433B17">
              <w:trPr>
                <w:trHeight w:val="448"/>
              </w:trPr>
              <w:tc>
                <w:tcPr>
                  <w:tcW w:w="2790" w:type="dxa"/>
                  <w:tcBorders>
                    <w:top w:val="nil"/>
                    <w:left w:val="nil"/>
                    <w:bottom w:val="nil"/>
                    <w:right w:val="nil"/>
                  </w:tcBorders>
                  <w:shd w:val="clear" w:color="000000" w:fill="FFFFFF"/>
                  <w:vAlign w:val="center"/>
                  <w:hideMark/>
                </w:tcPr>
                <w:p w14:paraId="15513154" w14:textId="1078B3F2" w:rsidR="001844E5" w:rsidRPr="00446FFE" w:rsidRDefault="00446FFE" w:rsidP="001844E5">
                  <w:pPr>
                    <w:spacing w:after="0" w:line="240" w:lineRule="auto"/>
                    <w:rPr>
                      <w:rFonts w:eastAsia="Times New Roman" w:cs="Times New Roman"/>
                      <w:b/>
                      <w:bCs/>
                      <w:sz w:val="22"/>
                    </w:rPr>
                  </w:pPr>
                  <w:r w:rsidRPr="00446FFE">
                    <w:rPr>
                      <w:rFonts w:eastAsia="Times New Roman" w:cs="Times New Roman"/>
                      <w:b/>
                      <w:bCs/>
                      <w:sz w:val="22"/>
                      <w:lang w:val="en-US"/>
                    </w:rPr>
                    <w:t xml:space="preserve">Cash and cash equivalents </w:t>
                  </w:r>
                  <w:proofErr w:type="gramStart"/>
                  <w:r w:rsidRPr="00446FFE">
                    <w:rPr>
                      <w:rFonts w:eastAsia="Times New Roman" w:cs="Times New Roman"/>
                      <w:b/>
                      <w:bCs/>
                      <w:sz w:val="22"/>
                      <w:lang w:val="en-US"/>
                    </w:rPr>
                    <w:t>at</w:t>
                  </w:r>
                  <w:proofErr w:type="gramEnd"/>
                  <w:r w:rsidRPr="00446FFE">
                    <w:rPr>
                      <w:rFonts w:eastAsia="Times New Roman" w:cs="Times New Roman"/>
                      <w:b/>
                      <w:bCs/>
                      <w:sz w:val="22"/>
                      <w:lang w:val="en-US"/>
                    </w:rPr>
                    <w:t xml:space="preserve"> 31 Dec 202</w:t>
                  </w:r>
                  <w:r w:rsidRPr="00446FFE">
                    <w:rPr>
                      <w:rFonts w:eastAsia="Times New Roman" w:cs="Times New Roman"/>
                      <w:b/>
                      <w:bCs/>
                      <w:sz w:val="22"/>
                      <w:lang w:val="en-US"/>
                    </w:rPr>
                    <w:t>3</w:t>
                  </w:r>
                </w:p>
              </w:tc>
              <w:tc>
                <w:tcPr>
                  <w:tcW w:w="2070" w:type="dxa"/>
                  <w:gridSpan w:val="2"/>
                  <w:tcBorders>
                    <w:top w:val="nil"/>
                    <w:left w:val="nil"/>
                    <w:bottom w:val="nil"/>
                    <w:right w:val="nil"/>
                  </w:tcBorders>
                  <w:shd w:val="clear" w:color="000000" w:fill="FFFFFF"/>
                  <w:vAlign w:val="center"/>
                  <w:hideMark/>
                </w:tcPr>
                <w:p w14:paraId="66DE18CA" w14:textId="3D4234E7" w:rsidR="001844E5" w:rsidRPr="00EE516D" w:rsidRDefault="001844E5" w:rsidP="00C4752A">
                  <w:pPr>
                    <w:spacing w:after="0" w:line="240" w:lineRule="auto"/>
                    <w:jc w:val="center"/>
                    <w:rPr>
                      <w:rFonts w:eastAsia="Times New Roman" w:cs="Times New Roman"/>
                      <w:b/>
                      <w:bCs/>
                      <w:sz w:val="22"/>
                    </w:rPr>
                  </w:pPr>
                  <w:r w:rsidRPr="00EE516D">
                    <w:rPr>
                      <w:rFonts w:eastAsia="Times New Roman" w:cs="Times New Roman"/>
                      <w:b/>
                      <w:bCs/>
                      <w:sz w:val="22"/>
                    </w:rPr>
                    <w:t>1,731,709,823.19</w:t>
                  </w:r>
                </w:p>
              </w:tc>
              <w:tc>
                <w:tcPr>
                  <w:tcW w:w="1980" w:type="dxa"/>
                  <w:gridSpan w:val="2"/>
                  <w:tcBorders>
                    <w:top w:val="nil"/>
                    <w:left w:val="nil"/>
                    <w:bottom w:val="nil"/>
                    <w:right w:val="nil"/>
                  </w:tcBorders>
                  <w:shd w:val="clear" w:color="000000" w:fill="FFFFFF"/>
                  <w:vAlign w:val="center"/>
                </w:tcPr>
                <w:p w14:paraId="7169DCD7" w14:textId="5D9653DE" w:rsidR="001844E5" w:rsidRPr="00EE516D" w:rsidRDefault="003D24E5" w:rsidP="00C4752A">
                  <w:pPr>
                    <w:spacing w:after="0" w:line="240" w:lineRule="auto"/>
                    <w:jc w:val="center"/>
                    <w:rPr>
                      <w:rFonts w:eastAsia="Times New Roman" w:cs="Times New Roman"/>
                      <w:b/>
                      <w:bCs/>
                      <w:sz w:val="22"/>
                    </w:rPr>
                  </w:pPr>
                  <w:r w:rsidRPr="00EE516D">
                    <w:rPr>
                      <w:rFonts w:eastAsia="Times New Roman" w:cs="Times New Roman"/>
                      <w:b/>
                      <w:bCs/>
                      <w:sz w:val="22"/>
                    </w:rPr>
                    <w:t>902,582,814,516.91</w:t>
                  </w:r>
                </w:p>
              </w:tc>
            </w:tr>
          </w:tbl>
          <w:p w14:paraId="3AECD217" w14:textId="601AFAA2" w:rsidR="008B1D5B" w:rsidRPr="00EE516D" w:rsidRDefault="008B1D5B" w:rsidP="006571FD">
            <w:pPr>
              <w:rPr>
                <w:rFonts w:cs="Times New Roman"/>
                <w:i/>
                <w:iCs/>
                <w:sz w:val="22"/>
                <w:highlight w:val="yellow"/>
              </w:rPr>
            </w:pPr>
          </w:p>
        </w:tc>
      </w:tr>
      <w:bookmarkEnd w:id="0"/>
      <w:tr w:rsidR="008B1D5B" w:rsidRPr="00EE516D" w14:paraId="487A2987" w14:textId="77777777" w:rsidTr="00433B17">
        <w:trPr>
          <w:trHeight w:val="316"/>
        </w:trPr>
        <w:tc>
          <w:tcPr>
            <w:tcW w:w="848" w:type="dxa"/>
            <w:tcBorders>
              <w:top w:val="nil"/>
              <w:left w:val="single" w:sz="4" w:space="0" w:color="auto"/>
              <w:bottom w:val="single" w:sz="4" w:space="0" w:color="auto"/>
              <w:right w:val="single" w:sz="4" w:space="0" w:color="auto"/>
            </w:tcBorders>
            <w:shd w:val="clear" w:color="auto" w:fill="D9E2F3" w:themeFill="accent1" w:themeFillTint="33"/>
            <w:hideMark/>
          </w:tcPr>
          <w:p w14:paraId="226E42EB" w14:textId="77777777" w:rsidR="008B1D5B" w:rsidRPr="00EE516D" w:rsidRDefault="008B1D5B" w:rsidP="006B0BDD">
            <w:pPr>
              <w:spacing w:after="0" w:line="240" w:lineRule="auto"/>
              <w:jc w:val="center"/>
              <w:rPr>
                <w:rFonts w:eastAsia="Times New Roman" w:cs="Times New Roman"/>
                <w:i/>
                <w:iCs/>
                <w:color w:val="000000"/>
                <w:sz w:val="22"/>
                <w:lang w:eastAsia="mn-MN"/>
              </w:rPr>
            </w:pPr>
            <w:r w:rsidRPr="00EE516D">
              <w:rPr>
                <w:rFonts w:eastAsia="Times New Roman" w:cs="Times New Roman"/>
                <w:i/>
                <w:iCs/>
                <w:color w:val="000000"/>
                <w:sz w:val="22"/>
                <w:lang w:eastAsia="mn-MN"/>
              </w:rPr>
              <w:t>1.1.</w:t>
            </w:r>
          </w:p>
        </w:tc>
        <w:tc>
          <w:tcPr>
            <w:tcW w:w="9862"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7B09F7F3" w14:textId="75CC51D2" w:rsidR="008B1D5B" w:rsidRPr="004B4D36" w:rsidRDefault="00446FFE" w:rsidP="008B1D5B">
            <w:pPr>
              <w:spacing w:after="0" w:line="240" w:lineRule="auto"/>
              <w:rPr>
                <w:rFonts w:eastAsia="Times New Roman" w:cs="Times New Roman"/>
                <w:i/>
                <w:iCs/>
                <w:color w:val="000000"/>
                <w:sz w:val="22"/>
                <w:lang w:eastAsia="mn-MN"/>
              </w:rPr>
            </w:pPr>
            <w:r>
              <w:rPr>
                <w:rFonts w:eastAsia="Times New Roman" w:cs="Times New Roman"/>
                <w:i/>
                <w:iCs/>
                <w:color w:val="000000"/>
                <w:sz w:val="22"/>
                <w:lang w:val="en-US" w:eastAsia="mn-MN"/>
              </w:rPr>
              <w:t>Audit opinion on annual financial statement</w:t>
            </w:r>
          </w:p>
        </w:tc>
      </w:tr>
      <w:tr w:rsidR="008B1D5B" w:rsidRPr="00EE516D" w14:paraId="769863D7" w14:textId="77777777" w:rsidTr="00433B17">
        <w:trPr>
          <w:trHeight w:val="440"/>
        </w:trPr>
        <w:tc>
          <w:tcPr>
            <w:tcW w:w="848" w:type="dxa"/>
            <w:tcBorders>
              <w:top w:val="nil"/>
              <w:left w:val="single" w:sz="4" w:space="0" w:color="auto"/>
              <w:bottom w:val="single" w:sz="4" w:space="0" w:color="auto"/>
              <w:right w:val="single" w:sz="4" w:space="0" w:color="auto"/>
            </w:tcBorders>
            <w:shd w:val="clear" w:color="auto" w:fill="auto"/>
            <w:hideMark/>
          </w:tcPr>
          <w:p w14:paraId="1197EA73" w14:textId="77777777" w:rsidR="008B1D5B" w:rsidRPr="00EE516D" w:rsidRDefault="008B1D5B" w:rsidP="008B1D5B">
            <w:pPr>
              <w:spacing w:after="0" w:line="240" w:lineRule="auto"/>
              <w:rPr>
                <w:rFonts w:eastAsia="Times New Roman" w:cs="Times New Roman"/>
                <w:i/>
                <w:iCs/>
                <w:color w:val="000000"/>
                <w:sz w:val="22"/>
                <w:lang w:eastAsia="mn-MN"/>
              </w:rPr>
            </w:pPr>
            <w:r w:rsidRPr="00EE516D">
              <w:rPr>
                <w:rFonts w:eastAsia="Times New Roman" w:cs="Times New Roman"/>
                <w:i/>
                <w:iCs/>
                <w:color w:val="000000"/>
                <w:sz w:val="22"/>
                <w:lang w:eastAsia="mn-MN"/>
              </w:rPr>
              <w:t> </w:t>
            </w:r>
          </w:p>
        </w:tc>
        <w:tc>
          <w:tcPr>
            <w:tcW w:w="9862" w:type="dxa"/>
            <w:gridSpan w:val="2"/>
            <w:tcBorders>
              <w:top w:val="single" w:sz="4" w:space="0" w:color="auto"/>
              <w:left w:val="nil"/>
              <w:bottom w:val="single" w:sz="4" w:space="0" w:color="auto"/>
              <w:right w:val="single" w:sz="4" w:space="0" w:color="auto"/>
            </w:tcBorders>
            <w:shd w:val="clear" w:color="auto" w:fill="auto"/>
            <w:hideMark/>
          </w:tcPr>
          <w:p w14:paraId="0C09FF6B" w14:textId="6F43DED7" w:rsidR="008B1D5B" w:rsidRPr="00807E8C" w:rsidRDefault="008B1D5B" w:rsidP="008B1D5B">
            <w:pPr>
              <w:spacing w:after="0" w:line="240" w:lineRule="auto"/>
              <w:rPr>
                <w:rFonts w:eastAsia="Times New Roman" w:cs="Times New Roman"/>
                <w:i/>
                <w:iCs/>
                <w:color w:val="000000"/>
                <w:sz w:val="22"/>
                <w:lang w:val="en-US" w:eastAsia="mn-MN"/>
              </w:rPr>
            </w:pPr>
            <w:r w:rsidRPr="00EE516D">
              <w:rPr>
                <w:rFonts w:eastAsia="Times New Roman" w:cs="Times New Roman"/>
                <w:i/>
                <w:iCs/>
                <w:color w:val="000000"/>
                <w:sz w:val="22"/>
                <w:lang w:eastAsia="mn-MN"/>
              </w:rPr>
              <w:t> </w:t>
            </w:r>
            <w:r w:rsidR="00807E8C">
              <w:rPr>
                <w:rFonts w:eastAsia="Times New Roman" w:cs="Times New Roman"/>
                <w:i/>
                <w:iCs/>
                <w:color w:val="000000"/>
                <w:sz w:val="22"/>
                <w:lang w:val="en-US" w:eastAsia="mn-MN"/>
              </w:rPr>
              <w:t>Qualified opinion</w:t>
            </w:r>
          </w:p>
        </w:tc>
      </w:tr>
      <w:tr w:rsidR="008B1D5B" w:rsidRPr="00EE516D" w14:paraId="39E82C3F" w14:textId="77777777" w:rsidTr="00433B17">
        <w:trPr>
          <w:trHeight w:val="550"/>
        </w:trPr>
        <w:tc>
          <w:tcPr>
            <w:tcW w:w="848" w:type="dxa"/>
            <w:tcBorders>
              <w:top w:val="nil"/>
              <w:left w:val="single" w:sz="4" w:space="0" w:color="auto"/>
              <w:bottom w:val="single" w:sz="4" w:space="0" w:color="auto"/>
              <w:right w:val="single" w:sz="4" w:space="0" w:color="auto"/>
            </w:tcBorders>
            <w:shd w:val="clear" w:color="auto" w:fill="D9E2F3" w:themeFill="accent1" w:themeFillTint="33"/>
            <w:hideMark/>
          </w:tcPr>
          <w:p w14:paraId="4F3B233E" w14:textId="77777777" w:rsidR="008B1D5B" w:rsidRPr="00EE516D" w:rsidRDefault="008B1D5B" w:rsidP="006B0BDD">
            <w:pPr>
              <w:spacing w:after="0" w:line="240" w:lineRule="auto"/>
              <w:jc w:val="center"/>
              <w:rPr>
                <w:rFonts w:eastAsia="Times New Roman" w:cs="Times New Roman"/>
                <w:i/>
                <w:iCs/>
                <w:color w:val="000000"/>
                <w:sz w:val="22"/>
                <w:lang w:eastAsia="mn-MN"/>
              </w:rPr>
            </w:pPr>
            <w:r w:rsidRPr="00EE516D">
              <w:rPr>
                <w:rFonts w:eastAsia="Times New Roman" w:cs="Times New Roman"/>
                <w:i/>
                <w:iCs/>
                <w:color w:val="000000"/>
                <w:sz w:val="22"/>
                <w:lang w:eastAsia="mn-MN"/>
              </w:rPr>
              <w:t>1.2.</w:t>
            </w:r>
          </w:p>
        </w:tc>
        <w:tc>
          <w:tcPr>
            <w:tcW w:w="9862"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2AC3F058" w14:textId="5293D412" w:rsidR="008B1D5B" w:rsidRPr="00EE516D" w:rsidRDefault="00807E8C" w:rsidP="008B1D5B">
            <w:pPr>
              <w:spacing w:after="0" w:line="240" w:lineRule="auto"/>
              <w:rPr>
                <w:rFonts w:eastAsia="Times New Roman" w:cs="Times New Roman"/>
                <w:i/>
                <w:iCs/>
                <w:color w:val="000000"/>
                <w:sz w:val="22"/>
                <w:lang w:eastAsia="mn-MN"/>
              </w:rPr>
            </w:pPr>
            <w:r>
              <w:rPr>
                <w:rFonts w:eastAsia="Times New Roman" w:cs="Times New Roman"/>
                <w:i/>
                <w:iCs/>
                <w:color w:val="000000"/>
                <w:sz w:val="22"/>
                <w:lang w:val="en-US" w:eastAsia="mn-MN"/>
              </w:rPr>
              <w:t>Audit conclusion letter</w:t>
            </w:r>
            <w:r w:rsidR="008B1D5B" w:rsidRPr="00EE516D">
              <w:rPr>
                <w:rFonts w:eastAsia="Times New Roman" w:cs="Times New Roman"/>
                <w:i/>
                <w:iCs/>
                <w:color w:val="000000"/>
                <w:sz w:val="22"/>
                <w:lang w:eastAsia="mn-MN"/>
              </w:rPr>
              <w:t xml:space="preserve"> /</w:t>
            </w:r>
            <w:r>
              <w:t xml:space="preserve"> </w:t>
            </w:r>
            <w:r w:rsidRPr="00807E8C">
              <w:rPr>
                <w:rFonts w:eastAsia="Times New Roman" w:cs="Times New Roman"/>
                <w:i/>
                <w:iCs/>
                <w:color w:val="000000"/>
                <w:sz w:val="22"/>
                <w:lang w:eastAsia="mn-MN"/>
              </w:rPr>
              <w:t>the conclusion letter must be developed within the context of the content mentioned in this instruction</w:t>
            </w:r>
            <w:r w:rsidR="008B1D5B" w:rsidRPr="00EE516D">
              <w:rPr>
                <w:rFonts w:eastAsia="Times New Roman" w:cs="Times New Roman"/>
                <w:i/>
                <w:iCs/>
                <w:color w:val="000000"/>
                <w:sz w:val="22"/>
                <w:lang w:eastAsia="mn-MN"/>
              </w:rPr>
              <w:t>/</w:t>
            </w:r>
          </w:p>
        </w:tc>
      </w:tr>
      <w:tr w:rsidR="005E58DA" w:rsidRPr="00EE516D" w14:paraId="69885FF1" w14:textId="77777777" w:rsidTr="00433B17">
        <w:trPr>
          <w:trHeight w:val="440"/>
        </w:trPr>
        <w:tc>
          <w:tcPr>
            <w:tcW w:w="10710" w:type="dxa"/>
            <w:gridSpan w:val="3"/>
            <w:tcBorders>
              <w:top w:val="nil"/>
              <w:left w:val="single" w:sz="4" w:space="0" w:color="auto"/>
              <w:bottom w:val="single" w:sz="4" w:space="0" w:color="auto"/>
              <w:right w:val="single" w:sz="4" w:space="0" w:color="auto"/>
            </w:tcBorders>
            <w:shd w:val="clear" w:color="auto" w:fill="auto"/>
            <w:hideMark/>
          </w:tcPr>
          <w:p w14:paraId="747FE530" w14:textId="3F070586" w:rsidR="005E58DA" w:rsidRPr="00EE516D" w:rsidRDefault="005E58DA" w:rsidP="00D66B4E">
            <w:pPr>
              <w:spacing w:after="0" w:line="240" w:lineRule="auto"/>
              <w:rPr>
                <w:rFonts w:eastAsia="Times New Roman" w:cs="Times New Roman"/>
                <w:i/>
                <w:iCs/>
                <w:color w:val="000000"/>
                <w:sz w:val="22"/>
                <w:lang w:eastAsia="mn-MN"/>
              </w:rPr>
            </w:pPr>
            <w:r w:rsidRPr="00EE516D">
              <w:rPr>
                <w:rFonts w:eastAsia="Times New Roman" w:cs="Times New Roman"/>
                <w:i/>
                <w:iCs/>
                <w:color w:val="000000"/>
                <w:sz w:val="22"/>
                <w:lang w:eastAsia="mn-MN"/>
              </w:rPr>
              <w:t>  </w:t>
            </w:r>
            <w:r w:rsidR="00807E8C" w:rsidRPr="00807E8C">
              <w:rPr>
                <w:rFonts w:eastAsia="Times New Roman" w:cs="Times New Roman"/>
                <w:i/>
                <w:iCs/>
                <w:color w:val="000000"/>
                <w:sz w:val="22"/>
                <w:lang w:eastAsia="mn-MN"/>
              </w:rPr>
              <w:t xml:space="preserve">The state audit performed the audit in accordance with the international standards of the Supreme Audit Institution and the procedures and instructions approved by the Auditor General of Mongolia. Auditing was made independent of the organization to be audited and fulfilled within the auditor's ethical responsibilities. </w:t>
            </w:r>
            <w:r w:rsidR="00807E8C">
              <w:rPr>
                <w:rFonts w:eastAsia="Times New Roman" w:cs="Times New Roman"/>
                <w:i/>
                <w:iCs/>
                <w:color w:val="000000"/>
                <w:sz w:val="22"/>
                <w:lang w:eastAsia="mn-MN"/>
              </w:rPr>
              <w:t>The audit</w:t>
            </w:r>
            <w:r w:rsidR="00807E8C" w:rsidRPr="00807E8C">
              <w:rPr>
                <w:rFonts w:eastAsia="Times New Roman" w:cs="Times New Roman"/>
                <w:i/>
                <w:iCs/>
                <w:color w:val="000000"/>
                <w:sz w:val="22"/>
                <w:lang w:eastAsia="mn-MN"/>
              </w:rPr>
              <w:t xml:space="preserve"> evidence that we have obtained is sufficient enough to provide a basis for an opinion.</w:t>
            </w:r>
          </w:p>
        </w:tc>
      </w:tr>
      <w:bookmarkEnd w:id="1"/>
    </w:tbl>
    <w:p w14:paraId="6E2BB1A1" w14:textId="0F83F485" w:rsidR="006F31BB" w:rsidRPr="006B0BDD" w:rsidRDefault="006F31BB">
      <w:pPr>
        <w:rPr>
          <w:rFonts w:cs="Times New Roman"/>
          <w:i/>
          <w:iCs/>
          <w:szCs w:val="24"/>
        </w:rPr>
      </w:pPr>
    </w:p>
    <w:tbl>
      <w:tblPr>
        <w:tblW w:w="10710" w:type="dxa"/>
        <w:tblInd w:w="-635" w:type="dxa"/>
        <w:tblLook w:val="04A0" w:firstRow="1" w:lastRow="0" w:firstColumn="1" w:lastColumn="0" w:noHBand="0" w:noVBand="1"/>
      </w:tblPr>
      <w:tblGrid>
        <w:gridCol w:w="1623"/>
        <w:gridCol w:w="3402"/>
        <w:gridCol w:w="5685"/>
      </w:tblGrid>
      <w:tr w:rsidR="0071144A" w:rsidRPr="006B0BDD" w14:paraId="2E0E2A63" w14:textId="77777777" w:rsidTr="007F27AC">
        <w:trPr>
          <w:trHeight w:val="1120"/>
        </w:trPr>
        <w:tc>
          <w:tcPr>
            <w:tcW w:w="162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02F6A85" w14:textId="40EA2F77" w:rsidR="0071144A" w:rsidRPr="006B0BDD" w:rsidRDefault="0071144A"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2</w:t>
            </w:r>
            <w:r w:rsidR="006B0BDD" w:rsidRPr="006B0BDD">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000000"/>
            </w:tcBorders>
            <w:shd w:val="clear" w:color="auto" w:fill="D9E2F3" w:themeFill="accent1" w:themeFillTint="33"/>
            <w:vAlign w:val="bottom"/>
            <w:hideMark/>
          </w:tcPr>
          <w:p w14:paraId="56163C25" w14:textId="0A4851C4" w:rsidR="0071144A" w:rsidRPr="006B0BDD" w:rsidRDefault="00E5111D" w:rsidP="006B0BDD">
            <w:pPr>
              <w:spacing w:after="0" w:line="240" w:lineRule="auto"/>
              <w:rPr>
                <w:rFonts w:eastAsia="Times New Roman" w:cs="Times New Roman"/>
                <w:i/>
                <w:iCs/>
                <w:color w:val="000000"/>
                <w:szCs w:val="24"/>
                <w:lang w:eastAsia="mn-MN"/>
              </w:rPr>
            </w:pPr>
            <w:r w:rsidRPr="00E5111D">
              <w:rPr>
                <w:rFonts w:eastAsia="Times New Roman" w:cs="Times New Roman"/>
                <w:i/>
                <w:iCs/>
                <w:color w:val="000000"/>
                <w:szCs w:val="24"/>
                <w:lang w:eastAsia="mn-MN"/>
              </w:rPr>
              <w:t>A brief description of factors affecting the issuer's financial condition and results of operations during the reporting period, as well as the management's assessment and the measures to be taken in the future.</w:t>
            </w:r>
          </w:p>
        </w:tc>
      </w:tr>
      <w:tr w:rsidR="0071144A" w:rsidRPr="006B0BDD" w14:paraId="1AF3FC68" w14:textId="77777777" w:rsidTr="007F27AC">
        <w:trPr>
          <w:trHeight w:val="656"/>
        </w:trPr>
        <w:tc>
          <w:tcPr>
            <w:tcW w:w="1623"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07CF4B9" w14:textId="30339B8B" w:rsidR="0071144A" w:rsidRPr="006B0BDD" w:rsidRDefault="0071144A"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2.1</w:t>
            </w:r>
            <w:r w:rsidR="007F27AC">
              <w:rPr>
                <w:rFonts w:eastAsia="Times New Roman" w:cs="Times New Roman"/>
                <w:i/>
                <w:iCs/>
                <w:color w:val="000000"/>
                <w:szCs w:val="24"/>
                <w:lang w:eastAsia="mn-MN"/>
              </w:rPr>
              <w:t>.</w:t>
            </w:r>
          </w:p>
        </w:tc>
        <w:tc>
          <w:tcPr>
            <w:tcW w:w="3402" w:type="dxa"/>
            <w:tcBorders>
              <w:top w:val="nil"/>
              <w:left w:val="nil"/>
              <w:bottom w:val="single" w:sz="4" w:space="0" w:color="auto"/>
              <w:right w:val="single" w:sz="4" w:space="0" w:color="auto"/>
            </w:tcBorders>
            <w:shd w:val="clear" w:color="auto" w:fill="D9E2F3" w:themeFill="accent1" w:themeFillTint="33"/>
            <w:vAlign w:val="center"/>
            <w:hideMark/>
          </w:tcPr>
          <w:p w14:paraId="04C55878" w14:textId="56208DCD" w:rsidR="0071144A" w:rsidRPr="006B0BDD" w:rsidRDefault="00E5111D" w:rsidP="009306A2">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 xml:space="preserve">Operational </w:t>
            </w:r>
            <w:proofErr w:type="gramStart"/>
            <w:r>
              <w:rPr>
                <w:rFonts w:eastAsia="Times New Roman" w:cs="Times New Roman"/>
                <w:i/>
                <w:iCs/>
                <w:color w:val="000000"/>
                <w:szCs w:val="24"/>
                <w:lang w:val="en-US" w:eastAsia="mn-MN"/>
              </w:rPr>
              <w:t>performance</w:t>
            </w:r>
            <w:r w:rsidR="0071144A" w:rsidRPr="006B0BDD">
              <w:rPr>
                <w:rFonts w:eastAsia="Times New Roman" w:cs="Times New Roman"/>
                <w:i/>
                <w:iCs/>
                <w:color w:val="000000"/>
                <w:szCs w:val="24"/>
                <w:lang w:eastAsia="mn-MN"/>
              </w:rPr>
              <w:t xml:space="preserve">  /</w:t>
            </w:r>
            <w:proofErr w:type="gramEnd"/>
            <w:r>
              <w:rPr>
                <w:rFonts w:eastAsia="Times New Roman" w:cs="Times New Roman"/>
                <w:i/>
                <w:iCs/>
                <w:color w:val="000000"/>
                <w:szCs w:val="24"/>
                <w:lang w:val="en-US" w:eastAsia="mn-MN"/>
              </w:rPr>
              <w:t>Financial ratios</w:t>
            </w:r>
            <w:r w:rsidR="0071144A" w:rsidRPr="006B0BDD">
              <w:rPr>
                <w:rFonts w:eastAsia="Times New Roman" w:cs="Times New Roman"/>
                <w:i/>
                <w:iCs/>
                <w:color w:val="000000"/>
                <w:szCs w:val="24"/>
                <w:lang w:eastAsia="mn-MN"/>
              </w:rPr>
              <w:t xml:space="preserve">/ </w:t>
            </w:r>
          </w:p>
        </w:tc>
        <w:tc>
          <w:tcPr>
            <w:tcW w:w="5685" w:type="dxa"/>
            <w:tcBorders>
              <w:top w:val="nil"/>
              <w:left w:val="nil"/>
              <w:bottom w:val="single" w:sz="4" w:space="0" w:color="auto"/>
              <w:right w:val="single" w:sz="4" w:space="0" w:color="auto"/>
            </w:tcBorders>
            <w:shd w:val="clear" w:color="auto" w:fill="auto"/>
            <w:noWrap/>
            <w:hideMark/>
          </w:tcPr>
          <w:p w14:paraId="28E45D27" w14:textId="77777777" w:rsidR="000A54FA" w:rsidRDefault="00885553" w:rsidP="000A54FA">
            <w:pPr>
              <w:spacing w:after="0" w:line="240" w:lineRule="auto"/>
              <w:ind w:left="31"/>
              <w:rPr>
                <w:rFonts w:eastAsia="Times New Roman" w:cs="Times New Roman"/>
                <w:i/>
                <w:iCs/>
                <w:color w:val="000000"/>
                <w:szCs w:val="24"/>
                <w:lang w:eastAsia="mn-MN"/>
              </w:rPr>
            </w:pPr>
            <w:r>
              <w:rPr>
                <w:rFonts w:eastAsia="Times New Roman" w:cs="Times New Roman"/>
                <w:i/>
                <w:iCs/>
                <w:color w:val="000000"/>
                <w:szCs w:val="24"/>
                <w:lang w:val="en-US" w:eastAsia="mn-MN"/>
              </w:rPr>
              <w:t>Net profit percent</w:t>
            </w:r>
            <w:r w:rsidR="00E7721C" w:rsidRPr="006B0BDD">
              <w:rPr>
                <w:rFonts w:eastAsia="Times New Roman" w:cs="Times New Roman"/>
                <w:i/>
                <w:iCs/>
                <w:color w:val="000000"/>
                <w:szCs w:val="24"/>
                <w:lang w:eastAsia="mn-MN"/>
              </w:rPr>
              <w:t xml:space="preserve"> </w:t>
            </w:r>
            <w:r>
              <w:rPr>
                <w:rFonts w:eastAsia="Times New Roman" w:cs="Times New Roman"/>
                <w:i/>
                <w:iCs/>
                <w:color w:val="000000"/>
                <w:szCs w:val="24"/>
                <w:lang w:val="en-US" w:eastAsia="mn-MN"/>
              </w:rPr>
              <w:t xml:space="preserve">  </w:t>
            </w:r>
            <w:r w:rsidR="001F1F8D" w:rsidRPr="006B0BDD">
              <w:rPr>
                <w:rFonts w:eastAsia="Times New Roman" w:cs="Times New Roman"/>
                <w:i/>
                <w:iCs/>
                <w:color w:val="000000"/>
                <w:szCs w:val="24"/>
                <w:lang w:eastAsia="mn-MN"/>
              </w:rPr>
              <w:t xml:space="preserve">                                   </w:t>
            </w:r>
            <w:r w:rsidR="00DF7020" w:rsidRPr="006B0BDD">
              <w:rPr>
                <w:rFonts w:eastAsia="Times New Roman" w:cs="Times New Roman"/>
                <w:i/>
                <w:iCs/>
                <w:color w:val="000000"/>
                <w:szCs w:val="24"/>
                <w:lang w:eastAsia="mn-MN"/>
              </w:rPr>
              <w:t xml:space="preserve"> </w:t>
            </w:r>
            <w:r w:rsidR="001F6FD3">
              <w:rPr>
                <w:rFonts w:eastAsia="Times New Roman" w:cs="Times New Roman"/>
                <w:i/>
                <w:iCs/>
                <w:color w:val="000000"/>
                <w:szCs w:val="24"/>
                <w:lang w:eastAsia="mn-MN"/>
              </w:rPr>
              <w:t>85</w:t>
            </w:r>
            <w:r w:rsidR="001F1F8D" w:rsidRPr="00885553">
              <w:rPr>
                <w:rFonts w:eastAsia="Times New Roman" w:cs="Times New Roman"/>
                <w:i/>
                <w:iCs/>
                <w:color w:val="000000"/>
                <w:szCs w:val="24"/>
                <w:lang w:eastAsia="mn-MN"/>
              </w:rPr>
              <w:t>%</w:t>
            </w:r>
          </w:p>
          <w:p w14:paraId="19825E01" w14:textId="306F3E43" w:rsidR="00E7721C" w:rsidRPr="006B0BDD" w:rsidRDefault="00885553" w:rsidP="000A54FA">
            <w:pPr>
              <w:spacing w:after="0" w:line="240" w:lineRule="auto"/>
              <w:ind w:left="31"/>
              <w:rPr>
                <w:rFonts w:eastAsia="Times New Roman" w:cs="Times New Roman"/>
                <w:i/>
                <w:iCs/>
                <w:color w:val="000000"/>
                <w:szCs w:val="24"/>
                <w:lang w:eastAsia="mn-MN"/>
              </w:rPr>
            </w:pPr>
            <w:r>
              <w:rPr>
                <w:rFonts w:eastAsia="Times New Roman" w:cs="Times New Roman"/>
                <w:i/>
                <w:iCs/>
                <w:color w:val="000000"/>
                <w:szCs w:val="24"/>
                <w:lang w:val="en-US" w:eastAsia="mn-MN"/>
              </w:rPr>
              <w:t>Gross profit percent</w:t>
            </w:r>
            <w:r w:rsidR="001F1F8D" w:rsidRPr="006B0BDD">
              <w:rPr>
                <w:rFonts w:eastAsia="Times New Roman" w:cs="Times New Roman"/>
                <w:i/>
                <w:iCs/>
                <w:color w:val="000000"/>
                <w:szCs w:val="24"/>
                <w:lang w:eastAsia="mn-MN"/>
              </w:rPr>
              <w:t xml:space="preserve">                                   </w:t>
            </w:r>
            <w:r w:rsidR="002C708C">
              <w:rPr>
                <w:rFonts w:eastAsia="Times New Roman" w:cs="Times New Roman"/>
                <w:i/>
                <w:iCs/>
                <w:color w:val="000000"/>
                <w:szCs w:val="24"/>
                <w:lang w:eastAsia="mn-MN"/>
              </w:rPr>
              <w:t>77</w:t>
            </w:r>
            <w:r w:rsidR="001F1F8D" w:rsidRPr="006B0BDD">
              <w:rPr>
                <w:rFonts w:eastAsia="Times New Roman" w:cs="Times New Roman"/>
                <w:i/>
                <w:iCs/>
                <w:color w:val="000000"/>
                <w:szCs w:val="24"/>
                <w:lang w:eastAsia="mn-MN"/>
              </w:rPr>
              <w:t>%</w:t>
            </w:r>
          </w:p>
          <w:p w14:paraId="21DF9F6E" w14:textId="36B45D98" w:rsidR="00E7721C" w:rsidRPr="006B0BDD" w:rsidRDefault="00885553" w:rsidP="000A54FA">
            <w:pPr>
              <w:spacing w:after="0" w:line="240" w:lineRule="auto"/>
              <w:ind w:left="31"/>
              <w:rPr>
                <w:rFonts w:eastAsia="Times New Roman" w:cs="Times New Roman"/>
                <w:i/>
                <w:iCs/>
                <w:color w:val="000000"/>
                <w:szCs w:val="24"/>
                <w:lang w:eastAsia="mn-MN"/>
              </w:rPr>
            </w:pPr>
            <w:r>
              <w:rPr>
                <w:rFonts w:eastAsia="Times New Roman" w:cs="Times New Roman"/>
                <w:i/>
                <w:iCs/>
                <w:color w:val="000000"/>
                <w:szCs w:val="24"/>
                <w:lang w:val="en-US" w:eastAsia="mn-MN"/>
              </w:rPr>
              <w:t xml:space="preserve">Return on equity                </w:t>
            </w:r>
            <w:r w:rsidR="001F1F8D" w:rsidRPr="006B0BDD">
              <w:rPr>
                <w:rFonts w:eastAsia="Times New Roman" w:cs="Times New Roman"/>
                <w:i/>
                <w:iCs/>
                <w:color w:val="000000"/>
                <w:szCs w:val="24"/>
                <w:lang w:eastAsia="mn-MN"/>
              </w:rPr>
              <w:t xml:space="preserve">                        </w:t>
            </w:r>
            <w:r w:rsidR="001F6FD3">
              <w:rPr>
                <w:rFonts w:eastAsia="Times New Roman" w:cs="Times New Roman"/>
                <w:i/>
                <w:iCs/>
                <w:color w:val="000000"/>
                <w:szCs w:val="24"/>
                <w:lang w:eastAsia="mn-MN"/>
              </w:rPr>
              <w:t>18</w:t>
            </w:r>
            <w:r w:rsidR="001F1F8D" w:rsidRPr="006B0BDD">
              <w:rPr>
                <w:rFonts w:eastAsia="Times New Roman" w:cs="Times New Roman"/>
                <w:i/>
                <w:iCs/>
                <w:color w:val="000000"/>
                <w:szCs w:val="24"/>
                <w:lang w:eastAsia="mn-MN"/>
              </w:rPr>
              <w:t>%</w:t>
            </w:r>
          </w:p>
        </w:tc>
      </w:tr>
      <w:tr w:rsidR="0071144A" w:rsidRPr="006B0BDD" w14:paraId="3F983049" w14:textId="77777777" w:rsidTr="007F27AC">
        <w:trPr>
          <w:trHeight w:val="656"/>
        </w:trPr>
        <w:tc>
          <w:tcPr>
            <w:tcW w:w="1623"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D26D329" w14:textId="0CB5A97B" w:rsidR="0071144A" w:rsidRPr="006B0BDD" w:rsidRDefault="0071144A"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2.2</w:t>
            </w:r>
            <w:r w:rsidR="007F27AC">
              <w:rPr>
                <w:rFonts w:eastAsia="Times New Roman" w:cs="Times New Roman"/>
                <w:i/>
                <w:iCs/>
                <w:color w:val="000000"/>
                <w:szCs w:val="24"/>
                <w:lang w:eastAsia="mn-MN"/>
              </w:rPr>
              <w:t>.</w:t>
            </w:r>
          </w:p>
        </w:tc>
        <w:tc>
          <w:tcPr>
            <w:tcW w:w="3402" w:type="dxa"/>
            <w:tcBorders>
              <w:top w:val="nil"/>
              <w:left w:val="nil"/>
              <w:bottom w:val="single" w:sz="4" w:space="0" w:color="auto"/>
              <w:right w:val="single" w:sz="4" w:space="0" w:color="auto"/>
            </w:tcBorders>
            <w:shd w:val="clear" w:color="auto" w:fill="D9E2F3" w:themeFill="accent1" w:themeFillTint="33"/>
            <w:vAlign w:val="bottom"/>
            <w:hideMark/>
          </w:tcPr>
          <w:p w14:paraId="757F9A44" w14:textId="0F69F513" w:rsidR="0071144A" w:rsidRPr="006B0BDD" w:rsidRDefault="001F6B7C" w:rsidP="00F92B2D">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Liquidity ratios and financial resources</w:t>
            </w:r>
            <w:r w:rsidR="0071144A" w:rsidRPr="006B0BDD">
              <w:rPr>
                <w:rFonts w:eastAsia="Times New Roman" w:cs="Times New Roman"/>
                <w:i/>
                <w:iCs/>
                <w:color w:val="000000"/>
                <w:szCs w:val="24"/>
                <w:lang w:eastAsia="mn-MN"/>
              </w:rPr>
              <w:t xml:space="preserve"> </w:t>
            </w:r>
          </w:p>
        </w:tc>
        <w:tc>
          <w:tcPr>
            <w:tcW w:w="5685" w:type="dxa"/>
            <w:tcBorders>
              <w:top w:val="nil"/>
              <w:left w:val="nil"/>
              <w:bottom w:val="single" w:sz="4" w:space="0" w:color="auto"/>
              <w:right w:val="single" w:sz="4" w:space="0" w:color="auto"/>
            </w:tcBorders>
            <w:shd w:val="clear" w:color="auto" w:fill="auto"/>
            <w:noWrap/>
            <w:vAlign w:val="bottom"/>
            <w:hideMark/>
          </w:tcPr>
          <w:p w14:paraId="3C6153F4" w14:textId="5AE1A2C1" w:rsidR="0071144A" w:rsidRPr="006B0BDD" w:rsidRDefault="0071144A" w:rsidP="00F92B2D">
            <w:pPr>
              <w:spacing w:after="0" w:line="240" w:lineRule="auto"/>
              <w:rPr>
                <w:rFonts w:eastAsia="Times New Roman" w:cs="Times New Roman"/>
                <w:i/>
                <w:iCs/>
                <w:color w:val="000000"/>
                <w:szCs w:val="24"/>
                <w:lang w:eastAsia="mn-MN"/>
              </w:rPr>
            </w:pPr>
            <w:r w:rsidRPr="006B0BDD">
              <w:rPr>
                <w:rFonts w:eastAsia="Times New Roman" w:cs="Times New Roman"/>
                <w:i/>
                <w:iCs/>
                <w:color w:val="000000"/>
                <w:szCs w:val="24"/>
                <w:lang w:eastAsia="mn-MN"/>
              </w:rPr>
              <w:t> </w:t>
            </w:r>
            <w:r w:rsidR="001F6B7C">
              <w:rPr>
                <w:rFonts w:eastAsia="Times New Roman" w:cs="Times New Roman"/>
                <w:i/>
                <w:iCs/>
                <w:color w:val="000000"/>
                <w:szCs w:val="24"/>
                <w:lang w:val="en-US" w:eastAsia="mn-MN"/>
              </w:rPr>
              <w:t xml:space="preserve">Current ratio           </w:t>
            </w:r>
            <w:r w:rsidR="002E4882" w:rsidRPr="006B0BDD">
              <w:rPr>
                <w:rFonts w:eastAsia="Times New Roman" w:cs="Times New Roman"/>
                <w:i/>
                <w:iCs/>
                <w:color w:val="000000"/>
                <w:szCs w:val="24"/>
                <w:lang w:eastAsia="mn-MN"/>
              </w:rPr>
              <w:t xml:space="preserve">                                  </w:t>
            </w:r>
            <w:r w:rsidR="002C708C">
              <w:rPr>
                <w:rFonts w:eastAsia="Times New Roman" w:cs="Times New Roman"/>
                <w:i/>
                <w:iCs/>
                <w:color w:val="000000"/>
                <w:szCs w:val="24"/>
                <w:lang w:eastAsia="mn-MN"/>
              </w:rPr>
              <w:t>1.</w:t>
            </w:r>
            <w:r w:rsidR="001F6FD3">
              <w:rPr>
                <w:rFonts w:eastAsia="Times New Roman" w:cs="Times New Roman"/>
                <w:i/>
                <w:iCs/>
                <w:color w:val="000000"/>
                <w:szCs w:val="24"/>
                <w:lang w:eastAsia="mn-MN"/>
              </w:rPr>
              <w:t>31</w:t>
            </w:r>
          </w:p>
          <w:p w14:paraId="02C4BEBF" w14:textId="0652FF5C" w:rsidR="00815232" w:rsidRPr="006B0BDD" w:rsidRDefault="00162367" w:rsidP="00F92B2D">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 xml:space="preserve"> </w:t>
            </w:r>
            <w:r w:rsidR="001F6B7C">
              <w:rPr>
                <w:rFonts w:eastAsia="Times New Roman" w:cs="Times New Roman"/>
                <w:i/>
                <w:iCs/>
                <w:color w:val="000000"/>
                <w:szCs w:val="24"/>
                <w:lang w:val="en-US" w:eastAsia="mn-MN"/>
              </w:rPr>
              <w:t>Quick ratio</w:t>
            </w:r>
            <w:r w:rsidR="00E7721C" w:rsidRPr="006B0BDD">
              <w:rPr>
                <w:rFonts w:eastAsia="Times New Roman" w:cs="Times New Roman"/>
                <w:i/>
                <w:iCs/>
                <w:color w:val="000000"/>
                <w:szCs w:val="24"/>
                <w:lang w:eastAsia="mn-MN"/>
              </w:rPr>
              <w:t xml:space="preserve"> </w:t>
            </w:r>
            <w:r w:rsidR="001F6B7C">
              <w:rPr>
                <w:rFonts w:eastAsia="Times New Roman" w:cs="Times New Roman"/>
                <w:i/>
                <w:iCs/>
                <w:color w:val="000000"/>
                <w:szCs w:val="24"/>
                <w:lang w:val="en-US" w:eastAsia="mn-MN"/>
              </w:rPr>
              <w:t xml:space="preserve">                                   </w:t>
            </w:r>
            <w:r w:rsidR="00923CCE" w:rsidRPr="006B0BDD">
              <w:rPr>
                <w:rFonts w:eastAsia="Times New Roman" w:cs="Times New Roman"/>
                <w:i/>
                <w:iCs/>
                <w:color w:val="000000"/>
                <w:szCs w:val="24"/>
                <w:lang w:eastAsia="mn-MN"/>
              </w:rPr>
              <w:t xml:space="preserve">            </w:t>
            </w:r>
            <w:r w:rsidR="002C708C">
              <w:rPr>
                <w:rFonts w:eastAsia="Times New Roman" w:cs="Times New Roman"/>
                <w:i/>
                <w:iCs/>
                <w:color w:val="000000"/>
                <w:szCs w:val="24"/>
                <w:lang w:eastAsia="mn-MN"/>
              </w:rPr>
              <w:t>1.03</w:t>
            </w:r>
          </w:p>
          <w:p w14:paraId="3B4E22C2" w14:textId="117C324A" w:rsidR="00815232" w:rsidRPr="006B0BDD" w:rsidRDefault="00162367" w:rsidP="00F92B2D">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Liabilities and equity ratio</w:t>
            </w:r>
            <w:r w:rsidR="00923CCE" w:rsidRPr="006B0BDD">
              <w:rPr>
                <w:rFonts w:eastAsia="Times New Roman" w:cs="Times New Roman"/>
                <w:i/>
                <w:iCs/>
                <w:color w:val="000000"/>
                <w:szCs w:val="24"/>
                <w:lang w:eastAsia="mn-MN"/>
              </w:rPr>
              <w:t xml:space="preserve">    </w:t>
            </w:r>
            <w:r>
              <w:rPr>
                <w:rFonts w:eastAsia="Times New Roman" w:cs="Times New Roman"/>
                <w:i/>
                <w:iCs/>
                <w:color w:val="000000"/>
                <w:szCs w:val="24"/>
                <w:lang w:val="en-US" w:eastAsia="mn-MN"/>
              </w:rPr>
              <w:t xml:space="preserve">                  </w:t>
            </w:r>
            <w:r w:rsidR="002C708C">
              <w:rPr>
                <w:rFonts w:eastAsia="Times New Roman" w:cs="Times New Roman"/>
                <w:i/>
                <w:iCs/>
                <w:color w:val="000000"/>
                <w:szCs w:val="24"/>
                <w:lang w:eastAsia="mn-MN"/>
              </w:rPr>
              <w:t xml:space="preserve"> 20.04</w:t>
            </w:r>
          </w:p>
        </w:tc>
      </w:tr>
      <w:tr w:rsidR="00B729C9" w:rsidRPr="006B0BDD" w14:paraId="688A2B83" w14:textId="77777777" w:rsidTr="007F27AC">
        <w:trPr>
          <w:trHeight w:val="163"/>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58F56F33" w14:textId="77777777" w:rsidR="007F27AC" w:rsidRDefault="007F27AC" w:rsidP="007F27AC">
            <w:pPr>
              <w:spacing w:after="0" w:line="240" w:lineRule="auto"/>
              <w:jc w:val="center"/>
              <w:rPr>
                <w:rFonts w:eastAsia="Times New Roman" w:cs="Times New Roman"/>
                <w:i/>
                <w:iCs/>
                <w:color w:val="000000"/>
                <w:szCs w:val="24"/>
                <w:lang w:eastAsia="mn-MN"/>
              </w:rPr>
            </w:pPr>
          </w:p>
          <w:p w14:paraId="5C434E27" w14:textId="77777777" w:rsidR="007F27AC" w:rsidRDefault="007F27AC" w:rsidP="007F27AC">
            <w:pPr>
              <w:spacing w:after="0" w:line="240" w:lineRule="auto"/>
              <w:jc w:val="center"/>
              <w:rPr>
                <w:rFonts w:eastAsia="Times New Roman" w:cs="Times New Roman"/>
                <w:i/>
                <w:iCs/>
                <w:color w:val="000000"/>
                <w:szCs w:val="24"/>
                <w:lang w:eastAsia="mn-MN"/>
              </w:rPr>
            </w:pPr>
          </w:p>
          <w:p w14:paraId="09F16F11" w14:textId="77777777" w:rsidR="007F27AC" w:rsidRDefault="007F27AC" w:rsidP="007F27AC">
            <w:pPr>
              <w:spacing w:after="0" w:line="240" w:lineRule="auto"/>
              <w:jc w:val="center"/>
              <w:rPr>
                <w:rFonts w:eastAsia="Times New Roman" w:cs="Times New Roman"/>
                <w:i/>
                <w:iCs/>
                <w:color w:val="000000"/>
                <w:szCs w:val="24"/>
                <w:lang w:eastAsia="mn-MN"/>
              </w:rPr>
            </w:pPr>
          </w:p>
          <w:p w14:paraId="129DF60F" w14:textId="77777777" w:rsidR="007F27AC" w:rsidRDefault="007F27AC" w:rsidP="007F27AC">
            <w:pPr>
              <w:spacing w:after="0" w:line="240" w:lineRule="auto"/>
              <w:jc w:val="center"/>
              <w:rPr>
                <w:rFonts w:eastAsia="Times New Roman" w:cs="Times New Roman"/>
                <w:i/>
                <w:iCs/>
                <w:color w:val="000000"/>
                <w:szCs w:val="24"/>
                <w:lang w:eastAsia="mn-MN"/>
              </w:rPr>
            </w:pPr>
          </w:p>
          <w:p w14:paraId="7B8B7BE6" w14:textId="77777777" w:rsidR="007F27AC" w:rsidRDefault="007F27AC" w:rsidP="007F27AC">
            <w:pPr>
              <w:spacing w:after="0" w:line="240" w:lineRule="auto"/>
              <w:jc w:val="center"/>
              <w:rPr>
                <w:rFonts w:eastAsia="Times New Roman" w:cs="Times New Roman"/>
                <w:i/>
                <w:iCs/>
                <w:color w:val="000000"/>
                <w:szCs w:val="24"/>
                <w:lang w:eastAsia="mn-MN"/>
              </w:rPr>
            </w:pPr>
          </w:p>
          <w:p w14:paraId="6097257F" w14:textId="75488E64"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2.3.</w:t>
            </w:r>
          </w:p>
        </w:tc>
        <w:tc>
          <w:tcPr>
            <w:tcW w:w="3402" w:type="dxa"/>
            <w:tcBorders>
              <w:top w:val="nil"/>
              <w:left w:val="nil"/>
              <w:bottom w:val="single" w:sz="4" w:space="0" w:color="auto"/>
              <w:right w:val="single" w:sz="4" w:space="0" w:color="auto"/>
            </w:tcBorders>
            <w:shd w:val="clear" w:color="auto" w:fill="D9E2F3" w:themeFill="accent1" w:themeFillTint="33"/>
            <w:hideMark/>
          </w:tcPr>
          <w:p w14:paraId="218661D0" w14:textId="6470723B" w:rsidR="008B1D5B" w:rsidRPr="006B0BDD" w:rsidRDefault="00A1499E" w:rsidP="008B1D5B">
            <w:pPr>
              <w:spacing w:after="0" w:line="240" w:lineRule="auto"/>
              <w:rPr>
                <w:rFonts w:eastAsia="Times New Roman" w:cs="Times New Roman"/>
                <w:i/>
                <w:iCs/>
                <w:color w:val="000000"/>
                <w:szCs w:val="24"/>
                <w:lang w:eastAsia="mn-MN"/>
              </w:rPr>
            </w:pPr>
            <w:r w:rsidRPr="00A1499E">
              <w:rPr>
                <w:rFonts w:eastAsia="Times New Roman" w:cs="Times New Roman"/>
                <w:i/>
                <w:iCs/>
                <w:color w:val="000000"/>
                <w:szCs w:val="24"/>
                <w:lang w:eastAsia="mn-MN"/>
              </w:rPr>
              <w:t>The external and internal factors affecting the operations of the issuer, its market share in the operating industry, changes or developments in the range of products and services, and measures planned to be taken by the issuer in response to changes and development.</w:t>
            </w:r>
          </w:p>
        </w:tc>
        <w:tc>
          <w:tcPr>
            <w:tcW w:w="5685" w:type="dxa"/>
            <w:tcBorders>
              <w:top w:val="nil"/>
              <w:left w:val="nil"/>
              <w:bottom w:val="single" w:sz="4" w:space="0" w:color="auto"/>
              <w:right w:val="single" w:sz="4" w:space="0" w:color="auto"/>
            </w:tcBorders>
            <w:shd w:val="clear" w:color="auto" w:fill="auto"/>
            <w:hideMark/>
          </w:tcPr>
          <w:p w14:paraId="730B963E" w14:textId="3E9D172E" w:rsidR="007E661B" w:rsidRDefault="00390729" w:rsidP="00F94977">
            <w:pPr>
              <w:spacing w:after="0" w:line="240" w:lineRule="auto"/>
              <w:jc w:val="both"/>
              <w:rPr>
                <w:i/>
                <w:iCs/>
                <w:sz w:val="22"/>
                <w:highlight w:val="yellow"/>
              </w:rPr>
            </w:pPr>
            <w:r>
              <w:rPr>
                <w:i/>
                <w:iCs/>
                <w:sz w:val="22"/>
                <w:lang w:val="en-US"/>
              </w:rPr>
              <w:t xml:space="preserve">According to </w:t>
            </w:r>
            <w:r w:rsidRPr="00390729">
              <w:rPr>
                <w:i/>
                <w:iCs/>
                <w:sz w:val="22"/>
              </w:rPr>
              <w:t xml:space="preserve">Resolution No. 16 of the </w:t>
            </w:r>
            <w:r>
              <w:rPr>
                <w:i/>
                <w:iCs/>
                <w:sz w:val="22"/>
                <w:lang w:val="en-US"/>
              </w:rPr>
              <w:t xml:space="preserve">State </w:t>
            </w:r>
            <w:r w:rsidRPr="00390729">
              <w:rPr>
                <w:i/>
                <w:iCs/>
                <w:sz w:val="22"/>
              </w:rPr>
              <w:t xml:space="preserve">Great Khural of Mongolia </w:t>
            </w:r>
            <w:r>
              <w:rPr>
                <w:i/>
                <w:iCs/>
                <w:sz w:val="22"/>
                <w:lang w:val="en-US"/>
              </w:rPr>
              <w:t xml:space="preserve">“Directives </w:t>
            </w:r>
            <w:r w:rsidRPr="00390729">
              <w:rPr>
                <w:i/>
                <w:iCs/>
                <w:sz w:val="22"/>
                <w:lang w:val="en-US"/>
              </w:rPr>
              <w:t>to</w:t>
            </w:r>
            <w:r w:rsidRPr="00390729">
              <w:rPr>
                <w:i/>
                <w:iCs/>
                <w:sz w:val="22"/>
              </w:rPr>
              <w:t xml:space="preserve"> S</w:t>
            </w:r>
            <w:r w:rsidRPr="00390729">
              <w:rPr>
                <w:i/>
                <w:iCs/>
                <w:sz w:val="22"/>
                <w:lang w:val="en-US"/>
              </w:rPr>
              <w:t>ell Shares of</w:t>
            </w:r>
            <w:r w:rsidRPr="00390729">
              <w:rPr>
                <w:i/>
                <w:iCs/>
                <w:sz w:val="22"/>
              </w:rPr>
              <w:t xml:space="preserve"> State-Owned Legal Entities on the Stock Exchange in 2022-2023"</w:t>
            </w:r>
            <w:r>
              <w:rPr>
                <w:i/>
                <w:iCs/>
                <w:sz w:val="22"/>
                <w:lang w:val="en-US"/>
              </w:rPr>
              <w:t>, and resolution</w:t>
            </w:r>
            <w:r w:rsidRPr="00390729">
              <w:rPr>
                <w:i/>
                <w:iCs/>
                <w:sz w:val="22"/>
              </w:rPr>
              <w:t xml:space="preserve"> No. 244</w:t>
            </w:r>
            <w:r w:rsidR="00C0302F">
              <w:rPr>
                <w:i/>
                <w:iCs/>
                <w:sz w:val="22"/>
                <w:lang w:val="en-US"/>
              </w:rPr>
              <w:t xml:space="preserve"> of the Government ”</w:t>
            </w:r>
            <w:r w:rsidR="00C0302F" w:rsidRPr="0002525C">
              <w:rPr>
                <w:i/>
                <w:iCs/>
                <w:sz w:val="22"/>
                <w:lang w:val="en-US"/>
              </w:rPr>
              <w:t xml:space="preserve">Approval of the list of state-owned legal entities for public </w:t>
            </w:r>
            <w:r w:rsidR="0002525C" w:rsidRPr="0002525C">
              <w:rPr>
                <w:i/>
                <w:iCs/>
                <w:sz w:val="22"/>
                <w:lang w:val="en-US"/>
              </w:rPr>
              <w:t>sell</w:t>
            </w:r>
            <w:r w:rsidR="00C0302F" w:rsidRPr="0002525C">
              <w:rPr>
                <w:i/>
                <w:iCs/>
                <w:sz w:val="22"/>
                <w:lang w:val="en-US"/>
              </w:rPr>
              <w:t xml:space="preserve"> on the stock exchange in 2022-2023</w:t>
            </w:r>
            <w:r w:rsidR="00C0302F">
              <w:rPr>
                <w:i/>
                <w:iCs/>
                <w:sz w:val="22"/>
                <w:lang w:val="en-US"/>
              </w:rPr>
              <w:t>”,</w:t>
            </w:r>
            <w:r w:rsidRPr="00390729">
              <w:rPr>
                <w:i/>
                <w:iCs/>
                <w:sz w:val="22"/>
              </w:rPr>
              <w:t xml:space="preserve"> </w:t>
            </w:r>
            <w:r w:rsidR="00C0302F">
              <w:rPr>
                <w:i/>
                <w:iCs/>
                <w:sz w:val="22"/>
                <w:lang w:val="en-US"/>
              </w:rPr>
              <w:t>the</w:t>
            </w:r>
            <w:r w:rsidRPr="00390729">
              <w:rPr>
                <w:i/>
                <w:iCs/>
                <w:sz w:val="22"/>
              </w:rPr>
              <w:t xml:space="preserve"> State Bank and 26 named companies </w:t>
            </w:r>
            <w:r w:rsidR="00C0302F">
              <w:rPr>
                <w:i/>
                <w:iCs/>
                <w:sz w:val="22"/>
                <w:lang w:val="en-US"/>
              </w:rPr>
              <w:t>offered up to 34 percent of their shares to the public</w:t>
            </w:r>
            <w:r w:rsidRPr="00390729">
              <w:rPr>
                <w:i/>
                <w:iCs/>
                <w:sz w:val="22"/>
              </w:rPr>
              <w:t xml:space="preserve"> and </w:t>
            </w:r>
            <w:r w:rsidR="00C0302F">
              <w:rPr>
                <w:i/>
                <w:iCs/>
                <w:sz w:val="22"/>
                <w:lang w:val="en-US"/>
              </w:rPr>
              <w:t>converted into public companies</w:t>
            </w:r>
            <w:r w:rsidRPr="00390729">
              <w:rPr>
                <w:i/>
                <w:iCs/>
                <w:sz w:val="22"/>
              </w:rPr>
              <w:t xml:space="preserve"> to improve financial discipline and governance, and to ensure stability and transparency of operations</w:t>
            </w:r>
            <w:r w:rsidR="00C0302F">
              <w:rPr>
                <w:i/>
                <w:iCs/>
                <w:sz w:val="22"/>
                <w:lang w:val="en-US"/>
              </w:rPr>
              <w:t>. On</w:t>
            </w:r>
            <w:r w:rsidRPr="00390729">
              <w:rPr>
                <w:i/>
                <w:iCs/>
                <w:sz w:val="22"/>
              </w:rPr>
              <w:t xml:space="preserve"> December 23, 2022 "Mongolian Stock Exchange" became a public company by offering its additional shares to the public. As part of the amendments to the Banking Law, 5 </w:t>
            </w:r>
            <w:r w:rsidR="00C0302F">
              <w:rPr>
                <w:i/>
                <w:iCs/>
                <w:sz w:val="22"/>
                <w:lang w:val="en-US"/>
              </w:rPr>
              <w:t>important banks</w:t>
            </w:r>
            <w:r w:rsidRPr="00390729">
              <w:rPr>
                <w:i/>
                <w:iCs/>
                <w:sz w:val="22"/>
              </w:rPr>
              <w:t xml:space="preserve"> - Khan Bank, Trade and Development Bank, </w:t>
            </w:r>
            <w:proofErr w:type="spellStart"/>
            <w:r w:rsidR="00C0302F">
              <w:rPr>
                <w:i/>
                <w:iCs/>
                <w:sz w:val="22"/>
                <w:lang w:val="en-US"/>
              </w:rPr>
              <w:t>Xac</w:t>
            </w:r>
            <w:proofErr w:type="spellEnd"/>
            <w:r w:rsidRPr="00390729">
              <w:rPr>
                <w:i/>
                <w:iCs/>
                <w:sz w:val="22"/>
              </w:rPr>
              <w:t xml:space="preserve">Bank, State Bank, and Golomt Bank - fulfilled their obligation to become </w:t>
            </w:r>
            <w:r w:rsidR="00C0302F">
              <w:rPr>
                <w:i/>
                <w:iCs/>
                <w:sz w:val="22"/>
                <w:lang w:val="en-US"/>
              </w:rPr>
              <w:t>public</w:t>
            </w:r>
            <w:r w:rsidRPr="00390729">
              <w:rPr>
                <w:i/>
                <w:iCs/>
                <w:sz w:val="22"/>
              </w:rPr>
              <w:t xml:space="preserve"> companies before June 30, 2023, and offered their shares to the public for a</w:t>
            </w:r>
            <w:r w:rsidR="00C0302F">
              <w:rPr>
                <w:i/>
                <w:iCs/>
                <w:sz w:val="22"/>
                <w:lang w:val="en-US"/>
              </w:rPr>
              <w:t xml:space="preserve"> combined</w:t>
            </w:r>
            <w:r w:rsidRPr="00390729">
              <w:rPr>
                <w:i/>
                <w:iCs/>
                <w:sz w:val="22"/>
              </w:rPr>
              <w:t xml:space="preserve"> total of 446.79 billion MNT. In addition, the Mongolian Stock Exchange </w:t>
            </w:r>
            <w:r w:rsidR="00C0302F">
              <w:rPr>
                <w:i/>
                <w:iCs/>
                <w:sz w:val="22"/>
                <w:lang w:val="en-US"/>
              </w:rPr>
              <w:t>listed</w:t>
            </w:r>
            <w:r w:rsidRPr="00390729">
              <w:rPr>
                <w:i/>
                <w:iCs/>
                <w:sz w:val="22"/>
              </w:rPr>
              <w:t xml:space="preserve"> and offered products such as shares of national enterprises, asset-backed securities, and debt instruments to the public, and successfully organized primary market trading worth more than 184.22 billion MNT.</w:t>
            </w:r>
          </w:p>
          <w:p w14:paraId="244736EA" w14:textId="1F40235D" w:rsidR="007E661B" w:rsidRPr="00A1499E" w:rsidRDefault="007E661B" w:rsidP="00F94977">
            <w:pPr>
              <w:spacing w:after="0" w:line="240" w:lineRule="auto"/>
              <w:jc w:val="both"/>
              <w:rPr>
                <w:i/>
                <w:iCs/>
                <w:sz w:val="22"/>
                <w:highlight w:val="yellow"/>
              </w:rPr>
            </w:pPr>
            <w:r w:rsidRPr="007E661B">
              <w:rPr>
                <w:i/>
                <w:iCs/>
                <w:sz w:val="22"/>
              </w:rPr>
              <w:t>The State Great Khural approved the "</w:t>
            </w:r>
            <w:r>
              <w:rPr>
                <w:i/>
                <w:iCs/>
                <w:sz w:val="22"/>
                <w:lang w:val="en-US"/>
              </w:rPr>
              <w:t xml:space="preserve">Law on </w:t>
            </w:r>
            <w:r w:rsidRPr="007E661B">
              <w:rPr>
                <w:i/>
                <w:iCs/>
                <w:sz w:val="22"/>
              </w:rPr>
              <w:t>Mining Products Exchange", and on June 30, 2023, the Financial Regulatory Commission granted a special license to "Mongolian Stock Exchange" JSC to operate as a mining products exchange</w:t>
            </w:r>
            <w:r>
              <w:rPr>
                <w:i/>
                <w:iCs/>
                <w:sz w:val="22"/>
                <w:lang w:val="en-US"/>
              </w:rPr>
              <w:t>.</w:t>
            </w:r>
            <w:r w:rsidRPr="007E661B">
              <w:rPr>
                <w:i/>
                <w:iCs/>
                <w:sz w:val="22"/>
              </w:rPr>
              <w:t xml:space="preserve"> </w:t>
            </w:r>
            <w:r>
              <w:rPr>
                <w:i/>
                <w:iCs/>
                <w:sz w:val="22"/>
                <w:lang w:val="en-US"/>
              </w:rPr>
              <w:t xml:space="preserve">A </w:t>
            </w:r>
            <w:r w:rsidRPr="007E661B">
              <w:rPr>
                <w:i/>
                <w:iCs/>
                <w:sz w:val="22"/>
              </w:rPr>
              <w:t xml:space="preserve">historical process </w:t>
            </w:r>
            <w:r>
              <w:rPr>
                <w:i/>
                <w:iCs/>
                <w:sz w:val="22"/>
                <w:lang w:val="en-US"/>
              </w:rPr>
              <w:t>that made the Mongolian Stock Exchange the first mining products exchange in Mongolia</w:t>
            </w:r>
            <w:r w:rsidRPr="007E661B">
              <w:rPr>
                <w:i/>
                <w:iCs/>
                <w:sz w:val="22"/>
              </w:rPr>
              <w:t xml:space="preserve">. </w:t>
            </w:r>
            <w:r>
              <w:rPr>
                <w:i/>
                <w:iCs/>
                <w:sz w:val="22"/>
                <w:lang w:val="en-US"/>
              </w:rPr>
              <w:t>Following this process</w:t>
            </w:r>
            <w:r w:rsidRPr="007E661B">
              <w:rPr>
                <w:i/>
                <w:iCs/>
                <w:sz w:val="22"/>
              </w:rPr>
              <w:t xml:space="preserve">, the </w:t>
            </w:r>
            <w:r>
              <w:rPr>
                <w:i/>
                <w:iCs/>
                <w:sz w:val="22"/>
                <w:lang w:val="en-US"/>
              </w:rPr>
              <w:t>MSE</w:t>
            </w:r>
            <w:r w:rsidRPr="007E661B">
              <w:rPr>
                <w:i/>
                <w:iCs/>
                <w:sz w:val="22"/>
              </w:rPr>
              <w:t xml:space="preserve"> </w:t>
            </w:r>
            <w:proofErr w:type="gramStart"/>
            <w:r w:rsidRPr="007E661B">
              <w:rPr>
                <w:i/>
                <w:iCs/>
                <w:sz w:val="22"/>
              </w:rPr>
              <w:t xml:space="preserve">has </w:t>
            </w:r>
            <w:r>
              <w:rPr>
                <w:i/>
                <w:iCs/>
                <w:sz w:val="22"/>
                <w:lang w:val="en-US"/>
              </w:rPr>
              <w:t>updated</w:t>
            </w:r>
            <w:proofErr w:type="gramEnd"/>
            <w:r w:rsidRPr="007E661B">
              <w:rPr>
                <w:i/>
                <w:iCs/>
                <w:sz w:val="22"/>
              </w:rPr>
              <w:t xml:space="preserve"> its trading system and expanded its operations. Also, </w:t>
            </w:r>
            <w:r>
              <w:rPr>
                <w:i/>
                <w:iCs/>
                <w:sz w:val="22"/>
                <w:lang w:val="en-US"/>
              </w:rPr>
              <w:t>Mining royalties</w:t>
            </w:r>
            <w:r w:rsidRPr="007E661B">
              <w:rPr>
                <w:i/>
                <w:iCs/>
                <w:sz w:val="22"/>
              </w:rPr>
              <w:t xml:space="preserve"> </w:t>
            </w:r>
            <w:r>
              <w:rPr>
                <w:i/>
                <w:iCs/>
                <w:sz w:val="22"/>
              </w:rPr>
              <w:t xml:space="preserve">are </w:t>
            </w:r>
            <w:r w:rsidRPr="007E661B">
              <w:rPr>
                <w:i/>
                <w:iCs/>
                <w:sz w:val="22"/>
              </w:rPr>
              <w:t xml:space="preserve">calculated </w:t>
            </w:r>
            <w:r>
              <w:rPr>
                <w:i/>
                <w:iCs/>
                <w:sz w:val="22"/>
                <w:lang w:val="en-US"/>
              </w:rPr>
              <w:t>using the</w:t>
            </w:r>
            <w:r w:rsidRPr="007E661B">
              <w:rPr>
                <w:i/>
                <w:iCs/>
                <w:sz w:val="22"/>
              </w:rPr>
              <w:t xml:space="preserve"> commercial price data of mining products traded </w:t>
            </w:r>
            <w:r>
              <w:rPr>
                <w:i/>
                <w:iCs/>
                <w:sz w:val="22"/>
                <w:lang w:val="en-US"/>
              </w:rPr>
              <w:t>through the</w:t>
            </w:r>
            <w:r w:rsidRPr="007E661B">
              <w:rPr>
                <w:i/>
                <w:iCs/>
                <w:sz w:val="22"/>
              </w:rPr>
              <w:t xml:space="preserve"> MSE. The name and variety of mining products to be exported through the </w:t>
            </w:r>
            <w:r>
              <w:rPr>
                <w:i/>
                <w:iCs/>
                <w:sz w:val="22"/>
                <w:lang w:val="en-US"/>
              </w:rPr>
              <w:t>MSE</w:t>
            </w:r>
            <w:r w:rsidRPr="007E661B">
              <w:rPr>
                <w:i/>
                <w:iCs/>
                <w:sz w:val="22"/>
              </w:rPr>
              <w:t xml:space="preserve"> has increased, iron concentrates</w:t>
            </w:r>
            <w:r>
              <w:rPr>
                <w:i/>
                <w:iCs/>
                <w:sz w:val="22"/>
                <w:lang w:val="en-US"/>
              </w:rPr>
              <w:t xml:space="preserve"> trading started</w:t>
            </w:r>
            <w:r w:rsidRPr="007E661B">
              <w:rPr>
                <w:i/>
                <w:iCs/>
                <w:sz w:val="22"/>
              </w:rPr>
              <w:t>, while</w:t>
            </w:r>
            <w:r>
              <w:rPr>
                <w:i/>
                <w:iCs/>
                <w:sz w:val="22"/>
                <w:lang w:val="en-US"/>
              </w:rPr>
              <w:t xml:space="preserve"> the</w:t>
            </w:r>
            <w:r w:rsidRPr="007E661B">
              <w:rPr>
                <w:i/>
                <w:iCs/>
                <w:sz w:val="22"/>
              </w:rPr>
              <w:t xml:space="preserve"> </w:t>
            </w:r>
            <w:r>
              <w:rPr>
                <w:i/>
                <w:iCs/>
                <w:sz w:val="22"/>
                <w:lang w:val="en-US"/>
              </w:rPr>
              <w:t>MSE</w:t>
            </w:r>
            <w:r w:rsidRPr="007E661B">
              <w:rPr>
                <w:i/>
                <w:iCs/>
                <w:sz w:val="22"/>
              </w:rPr>
              <w:t xml:space="preserve"> is preparing to trade copper and other </w:t>
            </w:r>
            <w:r>
              <w:rPr>
                <w:i/>
                <w:iCs/>
                <w:sz w:val="22"/>
                <w:lang w:val="en-US"/>
              </w:rPr>
              <w:t xml:space="preserve">mining </w:t>
            </w:r>
            <w:r w:rsidRPr="007E661B">
              <w:rPr>
                <w:i/>
                <w:iCs/>
                <w:sz w:val="22"/>
              </w:rPr>
              <w:t xml:space="preserve">products in 2024. In 2023, </w:t>
            </w:r>
            <w:r>
              <w:rPr>
                <w:i/>
                <w:iCs/>
                <w:sz w:val="22"/>
              </w:rPr>
              <w:t>ev</w:t>
            </w:r>
            <w:r>
              <w:rPr>
                <w:i/>
                <w:iCs/>
                <w:sz w:val="22"/>
                <w:lang w:val="en-US"/>
              </w:rPr>
              <w:t>ents</w:t>
            </w:r>
            <w:r w:rsidRPr="007E661B">
              <w:rPr>
                <w:i/>
                <w:iCs/>
                <w:sz w:val="22"/>
              </w:rPr>
              <w:t xml:space="preserve"> were organized in the Republic of Korea, Hong Kong, and China </w:t>
            </w:r>
            <w:r>
              <w:rPr>
                <w:i/>
                <w:iCs/>
                <w:sz w:val="22"/>
              </w:rPr>
              <w:t>to</w:t>
            </w:r>
            <w:r w:rsidRPr="007E661B">
              <w:rPr>
                <w:i/>
                <w:iCs/>
                <w:sz w:val="22"/>
              </w:rPr>
              <w:t xml:space="preserve"> promote the Mongolian stock market in foreign countries and expand cooperation, and signed a memorandum of cooperation with the Budapest Stock Exchange and the Shanghai Stock Exchange.</w:t>
            </w:r>
          </w:p>
          <w:p w14:paraId="204DCA6A" w14:textId="2448FDDF" w:rsidR="00B35ADD" w:rsidRDefault="007E661B" w:rsidP="00B35ADD">
            <w:pPr>
              <w:spacing w:after="0" w:line="240" w:lineRule="auto"/>
              <w:jc w:val="both"/>
              <w:rPr>
                <w:i/>
                <w:iCs/>
                <w:sz w:val="22"/>
                <w:highlight w:val="yellow"/>
              </w:rPr>
            </w:pPr>
            <w:r w:rsidRPr="007E661B">
              <w:rPr>
                <w:i/>
                <w:iCs/>
                <w:sz w:val="22"/>
              </w:rPr>
              <w:t xml:space="preserve">At the same time, the value of the domestic </w:t>
            </w:r>
            <w:r w:rsidR="006C0DD9">
              <w:rPr>
                <w:i/>
                <w:iCs/>
                <w:sz w:val="22"/>
                <w:lang w:val="en-US"/>
              </w:rPr>
              <w:t>stock</w:t>
            </w:r>
            <w:r w:rsidRPr="007E661B">
              <w:rPr>
                <w:i/>
                <w:iCs/>
                <w:sz w:val="22"/>
              </w:rPr>
              <w:t xml:space="preserve"> market reached 11.6 trillion MNT, which is 16.87 percent of the gross domestic product.</w:t>
            </w:r>
          </w:p>
          <w:p w14:paraId="3B6338E3" w14:textId="4A941803" w:rsidR="00F94977" w:rsidRPr="00A1499E" w:rsidRDefault="00BF53B8" w:rsidP="00F94977">
            <w:pPr>
              <w:spacing w:after="0" w:line="240" w:lineRule="auto"/>
              <w:jc w:val="both"/>
              <w:rPr>
                <w:rFonts w:eastAsia="Times New Roman" w:cs="Times New Roman"/>
                <w:i/>
                <w:iCs/>
                <w:color w:val="000000"/>
                <w:sz w:val="22"/>
                <w:highlight w:val="yellow"/>
                <w:lang w:val="en-US" w:eastAsia="mn-MN"/>
              </w:rPr>
            </w:pPr>
            <w:r w:rsidRPr="00BF53B8">
              <w:rPr>
                <w:i/>
                <w:iCs/>
                <w:sz w:val="22"/>
              </w:rPr>
              <w:t xml:space="preserve">In the future, we are working </w:t>
            </w:r>
            <w:r>
              <w:rPr>
                <w:i/>
                <w:iCs/>
                <w:sz w:val="22"/>
                <w:lang w:val="en-US"/>
              </w:rPr>
              <w:t>on expanding</w:t>
            </w:r>
            <w:r w:rsidRPr="00BF53B8">
              <w:rPr>
                <w:i/>
                <w:iCs/>
                <w:sz w:val="22"/>
              </w:rPr>
              <w:t xml:space="preserve"> foreign cooperation, </w:t>
            </w:r>
            <w:r>
              <w:rPr>
                <w:i/>
                <w:iCs/>
                <w:sz w:val="22"/>
              </w:rPr>
              <w:t>increasing</w:t>
            </w:r>
            <w:r w:rsidRPr="00BF53B8">
              <w:rPr>
                <w:i/>
                <w:iCs/>
                <w:sz w:val="22"/>
              </w:rPr>
              <w:t xml:space="preserve"> opportunities for international investors to actively participate in the Mongolian financial market, </w:t>
            </w:r>
            <w:r>
              <w:rPr>
                <w:i/>
                <w:iCs/>
                <w:sz w:val="22"/>
              </w:rPr>
              <w:t>improving</w:t>
            </w:r>
            <w:r w:rsidRPr="00BF53B8">
              <w:rPr>
                <w:i/>
                <w:iCs/>
                <w:sz w:val="22"/>
              </w:rPr>
              <w:t xml:space="preserve"> </w:t>
            </w:r>
            <w:r>
              <w:rPr>
                <w:i/>
                <w:iCs/>
                <w:sz w:val="22"/>
              </w:rPr>
              <w:t xml:space="preserve">the </w:t>
            </w:r>
            <w:r w:rsidRPr="00BF53B8">
              <w:rPr>
                <w:i/>
                <w:iCs/>
                <w:sz w:val="22"/>
              </w:rPr>
              <w:t xml:space="preserve">regulation of securities and </w:t>
            </w:r>
            <w:r>
              <w:rPr>
                <w:i/>
                <w:iCs/>
                <w:sz w:val="22"/>
                <w:lang w:val="en-US"/>
              </w:rPr>
              <w:t>stock</w:t>
            </w:r>
            <w:r w:rsidRPr="00BF53B8">
              <w:rPr>
                <w:i/>
                <w:iCs/>
                <w:sz w:val="22"/>
              </w:rPr>
              <w:t xml:space="preserve"> markets, </w:t>
            </w:r>
            <w:r>
              <w:rPr>
                <w:i/>
                <w:iCs/>
                <w:sz w:val="22"/>
              </w:rPr>
              <w:t>improving</w:t>
            </w:r>
            <w:r w:rsidRPr="00BF53B8">
              <w:rPr>
                <w:i/>
                <w:iCs/>
                <w:sz w:val="22"/>
              </w:rPr>
              <w:t xml:space="preserve"> </w:t>
            </w:r>
            <w:r>
              <w:rPr>
                <w:i/>
                <w:iCs/>
                <w:sz w:val="22"/>
              </w:rPr>
              <w:t xml:space="preserve">the </w:t>
            </w:r>
            <w:r w:rsidRPr="00BF53B8">
              <w:rPr>
                <w:i/>
                <w:iCs/>
                <w:sz w:val="22"/>
              </w:rPr>
              <w:t>coordination of activities of participa</w:t>
            </w:r>
            <w:proofErr w:type="spellStart"/>
            <w:r>
              <w:rPr>
                <w:i/>
                <w:iCs/>
                <w:sz w:val="22"/>
                <w:lang w:val="en-US"/>
              </w:rPr>
              <w:t>nts</w:t>
            </w:r>
            <w:proofErr w:type="spellEnd"/>
            <w:r w:rsidRPr="00BF53B8">
              <w:rPr>
                <w:i/>
                <w:iCs/>
                <w:sz w:val="22"/>
              </w:rPr>
              <w:t xml:space="preserve">, and </w:t>
            </w:r>
            <w:r>
              <w:rPr>
                <w:i/>
                <w:iCs/>
                <w:sz w:val="22"/>
              </w:rPr>
              <w:t>improving</w:t>
            </w:r>
            <w:r w:rsidRPr="00BF53B8">
              <w:rPr>
                <w:i/>
                <w:iCs/>
                <w:sz w:val="22"/>
              </w:rPr>
              <w:t xml:space="preserve"> the legal environment.</w:t>
            </w:r>
          </w:p>
        </w:tc>
      </w:tr>
      <w:tr w:rsidR="00B729C9" w:rsidRPr="006B0BDD" w14:paraId="1B4AE13F" w14:textId="77777777" w:rsidTr="007F27AC">
        <w:trPr>
          <w:trHeight w:val="72"/>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6CEF541F" w14:textId="77777777" w:rsidR="007F27AC" w:rsidRDefault="007F27AC" w:rsidP="007F27AC">
            <w:pPr>
              <w:spacing w:after="0" w:line="240" w:lineRule="auto"/>
              <w:jc w:val="center"/>
              <w:rPr>
                <w:rFonts w:eastAsia="Times New Roman" w:cs="Times New Roman"/>
                <w:i/>
                <w:iCs/>
                <w:color w:val="000000"/>
                <w:szCs w:val="24"/>
                <w:lang w:eastAsia="mn-MN"/>
              </w:rPr>
            </w:pPr>
            <w:bookmarkStart w:id="2" w:name="_Hlk130915701"/>
          </w:p>
          <w:p w14:paraId="737131DE" w14:textId="77777777" w:rsidR="007F27AC" w:rsidRDefault="007F27AC" w:rsidP="007F27AC">
            <w:pPr>
              <w:spacing w:after="0" w:line="240" w:lineRule="auto"/>
              <w:jc w:val="center"/>
              <w:rPr>
                <w:rFonts w:eastAsia="Times New Roman" w:cs="Times New Roman"/>
                <w:i/>
                <w:iCs/>
                <w:color w:val="000000"/>
                <w:szCs w:val="24"/>
                <w:lang w:eastAsia="mn-MN"/>
              </w:rPr>
            </w:pPr>
          </w:p>
          <w:p w14:paraId="1E31BDBC" w14:textId="77777777" w:rsidR="007F27AC" w:rsidRDefault="007F27AC" w:rsidP="007F27AC">
            <w:pPr>
              <w:spacing w:after="0" w:line="240" w:lineRule="auto"/>
              <w:jc w:val="center"/>
              <w:rPr>
                <w:rFonts w:eastAsia="Times New Roman" w:cs="Times New Roman"/>
                <w:i/>
                <w:iCs/>
                <w:color w:val="000000"/>
                <w:szCs w:val="24"/>
                <w:lang w:eastAsia="mn-MN"/>
              </w:rPr>
            </w:pPr>
          </w:p>
          <w:p w14:paraId="17B432A2" w14:textId="2E7D01AA"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2.4</w:t>
            </w:r>
            <w:r w:rsidR="007F27AC">
              <w:rPr>
                <w:rFonts w:eastAsia="Times New Roman" w:cs="Times New Roman"/>
                <w:i/>
                <w:iCs/>
                <w:color w:val="000000"/>
                <w:szCs w:val="24"/>
                <w:lang w:eastAsia="mn-MN"/>
              </w:rPr>
              <w:t>.</w:t>
            </w:r>
          </w:p>
        </w:tc>
        <w:tc>
          <w:tcPr>
            <w:tcW w:w="3402" w:type="dxa"/>
            <w:tcBorders>
              <w:top w:val="nil"/>
              <w:left w:val="nil"/>
              <w:bottom w:val="single" w:sz="4" w:space="0" w:color="auto"/>
              <w:right w:val="single" w:sz="4" w:space="0" w:color="auto"/>
            </w:tcBorders>
            <w:shd w:val="clear" w:color="auto" w:fill="D9E2F3" w:themeFill="accent1" w:themeFillTint="33"/>
            <w:hideMark/>
          </w:tcPr>
          <w:p w14:paraId="770735DC" w14:textId="601C664C" w:rsidR="008B1D5B" w:rsidRPr="006B0BDD" w:rsidRDefault="00A1499E" w:rsidP="008B1D5B">
            <w:pPr>
              <w:spacing w:after="0" w:line="240" w:lineRule="auto"/>
              <w:rPr>
                <w:rFonts w:eastAsia="Times New Roman" w:cs="Times New Roman"/>
                <w:i/>
                <w:iCs/>
                <w:color w:val="000000"/>
                <w:szCs w:val="24"/>
                <w:lang w:eastAsia="mn-MN"/>
              </w:rPr>
            </w:pPr>
            <w:r w:rsidRPr="00A1499E">
              <w:rPr>
                <w:rFonts w:eastAsia="Times New Roman" w:cs="Times New Roman"/>
                <w:i/>
                <w:iCs/>
                <w:color w:val="000000"/>
                <w:szCs w:val="24"/>
                <w:lang w:eastAsia="mn-MN"/>
              </w:rPr>
              <w:t>Details of off-balance sheet transactions and information on accounting policies</w:t>
            </w:r>
          </w:p>
        </w:tc>
        <w:tc>
          <w:tcPr>
            <w:tcW w:w="5685" w:type="dxa"/>
            <w:tcBorders>
              <w:top w:val="nil"/>
              <w:left w:val="nil"/>
              <w:bottom w:val="single" w:sz="4" w:space="0" w:color="auto"/>
              <w:right w:val="single" w:sz="4" w:space="0" w:color="auto"/>
            </w:tcBorders>
            <w:shd w:val="clear" w:color="auto" w:fill="auto"/>
            <w:hideMark/>
          </w:tcPr>
          <w:p w14:paraId="599C1208" w14:textId="77777777" w:rsidR="007F27AC" w:rsidRDefault="008B1D5B" w:rsidP="008B1D5B">
            <w:pPr>
              <w:spacing w:after="0" w:line="240" w:lineRule="auto"/>
              <w:rPr>
                <w:rFonts w:eastAsia="Times New Roman" w:cs="Times New Roman"/>
                <w:i/>
                <w:iCs/>
                <w:color w:val="000000"/>
                <w:szCs w:val="24"/>
                <w:lang w:eastAsia="mn-MN"/>
              </w:rPr>
            </w:pPr>
            <w:r w:rsidRPr="006B0BDD">
              <w:rPr>
                <w:rFonts w:eastAsia="Times New Roman" w:cs="Times New Roman"/>
                <w:i/>
                <w:iCs/>
                <w:color w:val="000000"/>
                <w:szCs w:val="24"/>
                <w:lang w:eastAsia="mn-MN"/>
              </w:rPr>
              <w:t> </w:t>
            </w:r>
          </w:p>
          <w:p w14:paraId="6AAA1DEC" w14:textId="40ED211B" w:rsidR="008B1D5B" w:rsidRPr="006B0BDD" w:rsidRDefault="00A1499E" w:rsidP="008B1D5B">
            <w:pPr>
              <w:spacing w:after="0" w:line="240" w:lineRule="auto"/>
              <w:rPr>
                <w:rFonts w:eastAsia="Times New Roman" w:cs="Times New Roman"/>
                <w:i/>
                <w:iCs/>
                <w:color w:val="000000"/>
                <w:szCs w:val="24"/>
                <w:lang w:eastAsia="mn-MN"/>
              </w:rPr>
            </w:pPr>
            <w:r w:rsidRPr="00A1499E">
              <w:rPr>
                <w:rFonts w:eastAsia="Times New Roman" w:cs="Times New Roman"/>
                <w:i/>
                <w:iCs/>
                <w:color w:val="000000"/>
                <w:szCs w:val="24"/>
                <w:lang w:eastAsia="mn-MN"/>
              </w:rPr>
              <w:t>There are no off-balance sheet transactions.</w:t>
            </w:r>
          </w:p>
        </w:tc>
      </w:tr>
      <w:tr w:rsidR="00B729C9" w:rsidRPr="006B0BDD" w14:paraId="69A57897" w14:textId="77777777" w:rsidTr="007F27AC">
        <w:trPr>
          <w:trHeight w:val="72"/>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1517CD10" w14:textId="77777777" w:rsidR="007F27AC" w:rsidRDefault="007F27AC" w:rsidP="007F27AC">
            <w:pPr>
              <w:spacing w:after="0" w:line="240" w:lineRule="auto"/>
              <w:jc w:val="center"/>
              <w:rPr>
                <w:rFonts w:eastAsia="Times New Roman" w:cs="Times New Roman"/>
                <w:i/>
                <w:iCs/>
                <w:color w:val="000000"/>
                <w:szCs w:val="24"/>
                <w:lang w:eastAsia="mn-MN"/>
              </w:rPr>
            </w:pPr>
            <w:bookmarkStart w:id="3" w:name="_Hlk130915708"/>
            <w:bookmarkEnd w:id="2"/>
          </w:p>
          <w:p w14:paraId="22AFE0B1" w14:textId="4B7CFD8C"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2.5.</w:t>
            </w:r>
          </w:p>
        </w:tc>
        <w:tc>
          <w:tcPr>
            <w:tcW w:w="3402" w:type="dxa"/>
            <w:tcBorders>
              <w:top w:val="nil"/>
              <w:left w:val="nil"/>
              <w:bottom w:val="single" w:sz="4" w:space="0" w:color="auto"/>
              <w:right w:val="single" w:sz="4" w:space="0" w:color="auto"/>
            </w:tcBorders>
            <w:shd w:val="clear" w:color="auto" w:fill="D9E2F3" w:themeFill="accent1" w:themeFillTint="33"/>
            <w:hideMark/>
          </w:tcPr>
          <w:p w14:paraId="504B9F9F" w14:textId="4DEBFFA2" w:rsidR="008B1D5B" w:rsidRPr="006B0BDD" w:rsidRDefault="00A1499E" w:rsidP="008B1D5B">
            <w:pPr>
              <w:spacing w:after="0" w:line="240" w:lineRule="auto"/>
              <w:rPr>
                <w:rFonts w:eastAsia="Times New Roman" w:cs="Times New Roman"/>
                <w:i/>
                <w:iCs/>
                <w:color w:val="000000"/>
                <w:szCs w:val="24"/>
                <w:lang w:eastAsia="mn-MN"/>
              </w:rPr>
            </w:pPr>
            <w:r w:rsidRPr="00A1499E">
              <w:rPr>
                <w:rFonts w:eastAsia="Times New Roman" w:cs="Times New Roman"/>
                <w:i/>
                <w:iCs/>
                <w:color w:val="000000"/>
                <w:szCs w:val="24"/>
                <w:lang w:eastAsia="mn-MN"/>
              </w:rPr>
              <w:t xml:space="preserve">Information on loan repayment received during the reporting </w:t>
            </w:r>
            <w:r w:rsidRPr="00A1499E">
              <w:rPr>
                <w:rFonts w:eastAsia="Times New Roman" w:cs="Times New Roman"/>
                <w:i/>
                <w:iCs/>
                <w:color w:val="000000"/>
                <w:szCs w:val="24"/>
                <w:lang w:eastAsia="mn-MN"/>
              </w:rPr>
              <w:lastRenderedPageBreak/>
              <w:t xml:space="preserve">period, and loan pledges and guarantees;  </w:t>
            </w:r>
          </w:p>
        </w:tc>
        <w:tc>
          <w:tcPr>
            <w:tcW w:w="5685" w:type="dxa"/>
            <w:tcBorders>
              <w:top w:val="nil"/>
              <w:left w:val="nil"/>
              <w:bottom w:val="single" w:sz="4" w:space="0" w:color="auto"/>
              <w:right w:val="single" w:sz="4" w:space="0" w:color="auto"/>
            </w:tcBorders>
            <w:shd w:val="clear" w:color="auto" w:fill="auto"/>
            <w:hideMark/>
          </w:tcPr>
          <w:p w14:paraId="00376EE2" w14:textId="38990A3A" w:rsidR="008B1D5B" w:rsidRPr="006B0BDD" w:rsidRDefault="008B1D5B" w:rsidP="008B1D5B">
            <w:pPr>
              <w:spacing w:after="0" w:line="240" w:lineRule="auto"/>
              <w:rPr>
                <w:rFonts w:eastAsia="Times New Roman" w:cs="Times New Roman"/>
                <w:i/>
                <w:iCs/>
                <w:color w:val="000000"/>
                <w:szCs w:val="24"/>
                <w:lang w:eastAsia="mn-MN"/>
              </w:rPr>
            </w:pPr>
            <w:r w:rsidRPr="006B0BDD">
              <w:rPr>
                <w:rFonts w:eastAsia="Times New Roman" w:cs="Times New Roman"/>
                <w:i/>
                <w:iCs/>
                <w:color w:val="000000"/>
                <w:szCs w:val="24"/>
                <w:lang w:eastAsia="mn-MN"/>
              </w:rPr>
              <w:lastRenderedPageBreak/>
              <w:t> </w:t>
            </w:r>
            <w:r w:rsidR="00A1499E" w:rsidRPr="00A1499E">
              <w:rPr>
                <w:rFonts w:eastAsia="Times New Roman" w:cs="Times New Roman"/>
                <w:i/>
                <w:iCs/>
                <w:color w:val="000000"/>
                <w:szCs w:val="24"/>
                <w:lang w:eastAsia="mn-MN"/>
              </w:rPr>
              <w:t>No loans were received during the reporting period.</w:t>
            </w:r>
          </w:p>
        </w:tc>
      </w:tr>
      <w:bookmarkEnd w:id="3"/>
      <w:tr w:rsidR="0071144A" w:rsidRPr="006B0BDD" w14:paraId="55D9C01B" w14:textId="77777777" w:rsidTr="007F27AC">
        <w:trPr>
          <w:trHeight w:val="72"/>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0D6F3D94" w14:textId="77777777" w:rsidR="007F27AC" w:rsidRDefault="007F27AC" w:rsidP="007F27AC">
            <w:pPr>
              <w:spacing w:after="0" w:line="240" w:lineRule="auto"/>
              <w:jc w:val="center"/>
              <w:rPr>
                <w:rFonts w:eastAsia="Times New Roman" w:cs="Times New Roman"/>
                <w:i/>
                <w:iCs/>
                <w:color w:val="000000"/>
                <w:szCs w:val="24"/>
                <w:lang w:eastAsia="mn-MN"/>
              </w:rPr>
            </w:pPr>
          </w:p>
          <w:p w14:paraId="0C10244F" w14:textId="40F83753"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3</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624D9854" w14:textId="5CC08736" w:rsidR="008B1D5B" w:rsidRPr="006B0BDD" w:rsidRDefault="00A1499E" w:rsidP="008B1D5B">
            <w:pPr>
              <w:spacing w:after="0" w:line="240" w:lineRule="auto"/>
              <w:rPr>
                <w:rFonts w:eastAsia="Times New Roman" w:cs="Times New Roman"/>
                <w:i/>
                <w:iCs/>
                <w:color w:val="000000"/>
                <w:szCs w:val="24"/>
                <w:lang w:eastAsia="mn-MN"/>
              </w:rPr>
            </w:pPr>
            <w:r w:rsidRPr="00A1499E">
              <w:rPr>
                <w:rFonts w:eastAsia="Times New Roman" w:cs="Times New Roman"/>
                <w:i/>
                <w:iCs/>
                <w:color w:val="000000"/>
                <w:szCs w:val="24"/>
                <w:lang w:eastAsia="mn-MN"/>
              </w:rPr>
              <w:t>Information on conflict of interest and significant transactions conducted by the issuer during the reporting period, the importance and the purpose of the transaction, and information about the person with a conflict of interest / all conflicts of interest transactions made during the reporting period shall be included/</w:t>
            </w:r>
          </w:p>
        </w:tc>
      </w:tr>
      <w:tr w:rsidR="0071144A" w:rsidRPr="006B0BDD" w14:paraId="2B74EDA8" w14:textId="77777777" w:rsidTr="007F27AC">
        <w:trPr>
          <w:trHeight w:val="17"/>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1DABB3BD" w14:textId="43AE5032" w:rsidR="008B1D5B" w:rsidRPr="006B0BDD" w:rsidRDefault="008B1D5B" w:rsidP="007F27AC">
            <w:pPr>
              <w:spacing w:after="0" w:line="240" w:lineRule="auto"/>
              <w:jc w:val="center"/>
              <w:rPr>
                <w:rFonts w:eastAsia="Times New Roman" w:cs="Times New Roman"/>
                <w:i/>
                <w:iCs/>
                <w:color w:val="000000"/>
                <w:szCs w:val="24"/>
                <w:lang w:eastAsia="mn-MN"/>
              </w:rPr>
            </w:pPr>
            <w:bookmarkStart w:id="4" w:name="_Hlk130915713"/>
            <w:r w:rsidRPr="006B0BDD">
              <w:rPr>
                <w:rFonts w:eastAsia="Times New Roman" w:cs="Times New Roman"/>
                <w:i/>
                <w:iCs/>
                <w:color w:val="000000"/>
                <w:szCs w:val="24"/>
                <w:lang w:eastAsia="mn-MN"/>
              </w:rPr>
              <w:t>4</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5F1B0AA9" w14:textId="5DCA9126" w:rsidR="008B1D5B" w:rsidRPr="00A1499E" w:rsidRDefault="00A1499E" w:rsidP="008B1D5B">
            <w:pPr>
              <w:spacing w:after="0" w:line="240" w:lineRule="auto"/>
              <w:rPr>
                <w:rFonts w:eastAsia="Times New Roman" w:cs="Times New Roman"/>
                <w:i/>
                <w:iCs/>
                <w:color w:val="000000"/>
                <w:szCs w:val="24"/>
                <w:lang w:val="en-US" w:eastAsia="mn-MN"/>
              </w:rPr>
            </w:pPr>
            <w:r>
              <w:rPr>
                <w:rFonts w:eastAsia="Times New Roman" w:cs="Times New Roman"/>
                <w:i/>
                <w:iCs/>
                <w:color w:val="000000"/>
                <w:szCs w:val="24"/>
                <w:lang w:val="en-US" w:eastAsia="mn-MN"/>
              </w:rPr>
              <w:t xml:space="preserve">Compensation (salary, bonus, </w:t>
            </w:r>
            <w:proofErr w:type="spellStart"/>
            <w:r>
              <w:rPr>
                <w:rFonts w:eastAsia="Times New Roman" w:cs="Times New Roman"/>
                <w:i/>
                <w:iCs/>
                <w:color w:val="000000"/>
                <w:szCs w:val="24"/>
                <w:lang w:val="en-US" w:eastAsia="mn-MN"/>
              </w:rPr>
              <w:t>etc</w:t>
            </w:r>
            <w:proofErr w:type="spellEnd"/>
            <w:r>
              <w:rPr>
                <w:rFonts w:eastAsia="Times New Roman" w:cs="Times New Roman"/>
                <w:i/>
                <w:iCs/>
                <w:color w:val="000000"/>
                <w:szCs w:val="24"/>
                <w:lang w:val="en-US" w:eastAsia="mn-MN"/>
              </w:rPr>
              <w:t>)</w:t>
            </w:r>
          </w:p>
        </w:tc>
      </w:tr>
      <w:tr w:rsidR="005E58DA" w:rsidRPr="006B0BDD" w14:paraId="4AD75A18" w14:textId="77777777" w:rsidTr="00F92B2D">
        <w:trPr>
          <w:trHeight w:val="746"/>
        </w:trPr>
        <w:tc>
          <w:tcPr>
            <w:tcW w:w="10710" w:type="dxa"/>
            <w:gridSpan w:val="3"/>
            <w:tcBorders>
              <w:top w:val="nil"/>
              <w:left w:val="single" w:sz="4" w:space="0" w:color="auto"/>
              <w:bottom w:val="single" w:sz="4" w:space="0" w:color="auto"/>
              <w:right w:val="single" w:sz="4" w:space="0" w:color="000000"/>
            </w:tcBorders>
            <w:shd w:val="clear" w:color="auto" w:fill="auto"/>
            <w:hideMark/>
          </w:tcPr>
          <w:p w14:paraId="4CAC591C" w14:textId="77777777" w:rsidR="005E58DA" w:rsidRPr="006B0BDD" w:rsidRDefault="005E58DA" w:rsidP="00E60E9B">
            <w:pPr>
              <w:spacing w:after="0" w:line="240" w:lineRule="auto"/>
              <w:jc w:val="right"/>
              <w:rPr>
                <w:rFonts w:eastAsia="Times New Roman" w:cs="Times New Roman"/>
                <w:i/>
                <w:iCs/>
                <w:color w:val="000000"/>
                <w:szCs w:val="24"/>
                <w:lang w:eastAsia="mn-MN"/>
              </w:rPr>
            </w:pPr>
            <w:r w:rsidRPr="006B0BDD">
              <w:rPr>
                <w:rFonts w:eastAsia="Times New Roman" w:cs="Times New Roman"/>
                <w:i/>
                <w:iCs/>
                <w:color w:val="000000"/>
                <w:szCs w:val="24"/>
                <w:lang w:eastAsia="mn-MN"/>
              </w:rPr>
              <w:t> </w:t>
            </w:r>
          </w:p>
          <w:p w14:paraId="5EFA7E97" w14:textId="0FE175E0" w:rsidR="005E58DA" w:rsidRPr="006B0BDD" w:rsidRDefault="005E58DA" w:rsidP="005E58DA">
            <w:pPr>
              <w:spacing w:after="0" w:line="240" w:lineRule="auto"/>
              <w:rPr>
                <w:rFonts w:eastAsia="Times New Roman" w:cs="Times New Roman"/>
                <w:i/>
                <w:iCs/>
                <w:color w:val="000000"/>
                <w:szCs w:val="24"/>
                <w:lang w:eastAsia="mn-MN"/>
              </w:rPr>
            </w:pPr>
            <w:r w:rsidRPr="006B0BDD">
              <w:rPr>
                <w:rFonts w:eastAsia="Times New Roman" w:cs="Times New Roman"/>
                <w:i/>
                <w:iCs/>
                <w:color w:val="000000"/>
                <w:szCs w:val="24"/>
                <w:lang w:eastAsia="mn-MN"/>
              </w:rPr>
              <w:t> </w:t>
            </w:r>
            <w:r w:rsidR="00A1499E">
              <w:rPr>
                <w:rFonts w:eastAsia="Times New Roman" w:cs="Times New Roman"/>
                <w:i/>
                <w:iCs/>
                <w:color w:val="000000"/>
                <w:szCs w:val="24"/>
                <w:lang w:val="en-US" w:eastAsia="mn-MN"/>
              </w:rPr>
              <w:t>135.5</w:t>
            </w:r>
            <w:r w:rsidR="00A1499E" w:rsidRPr="00A1499E">
              <w:rPr>
                <w:rFonts w:eastAsia="Times New Roman" w:cs="Times New Roman"/>
                <w:i/>
                <w:iCs/>
                <w:color w:val="000000"/>
                <w:szCs w:val="24"/>
                <w:lang w:eastAsia="mn-MN"/>
              </w:rPr>
              <w:t xml:space="preserve"> million MNT was allocated to the salaries and bonuses of the Board members of "The Mongolian Stock Exchange".</w:t>
            </w:r>
          </w:p>
        </w:tc>
      </w:tr>
      <w:bookmarkEnd w:id="4"/>
      <w:tr w:rsidR="0071144A" w:rsidRPr="006B0BDD" w14:paraId="7FB0C3D0" w14:textId="77777777" w:rsidTr="007F27AC">
        <w:trPr>
          <w:trHeight w:val="17"/>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42A8327F" w14:textId="40EF6A08"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5</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49A5FB91" w14:textId="26C09D01" w:rsidR="008B1D5B" w:rsidRPr="006E6679" w:rsidRDefault="006E6679" w:rsidP="007F27AC">
            <w:pPr>
              <w:spacing w:after="0" w:line="240" w:lineRule="auto"/>
              <w:rPr>
                <w:rFonts w:eastAsia="Times New Roman" w:cs="Times New Roman"/>
                <w:i/>
                <w:iCs/>
                <w:color w:val="000000"/>
                <w:szCs w:val="24"/>
                <w:lang w:val="en-US" w:eastAsia="mn-MN"/>
              </w:rPr>
            </w:pPr>
            <w:r w:rsidRPr="006E6679">
              <w:rPr>
                <w:rFonts w:eastAsia="Times New Roman" w:cs="Times New Roman"/>
                <w:i/>
                <w:iCs/>
                <w:color w:val="000000"/>
                <w:szCs w:val="24"/>
                <w:lang w:val="en-US" w:eastAsia="mn-MN"/>
              </w:rPr>
              <w:t>Information related to corporate governance</w:t>
            </w:r>
          </w:p>
        </w:tc>
      </w:tr>
      <w:tr w:rsidR="005E58DA" w:rsidRPr="006B0BDD" w14:paraId="50632DBB" w14:textId="77777777" w:rsidTr="0050253B">
        <w:trPr>
          <w:trHeight w:val="10970"/>
        </w:trPr>
        <w:tc>
          <w:tcPr>
            <w:tcW w:w="10710" w:type="dxa"/>
            <w:gridSpan w:val="3"/>
            <w:tcBorders>
              <w:top w:val="nil"/>
              <w:left w:val="single" w:sz="4" w:space="0" w:color="auto"/>
              <w:bottom w:val="single" w:sz="4" w:space="0" w:color="auto"/>
              <w:right w:val="single" w:sz="4" w:space="0" w:color="000000"/>
            </w:tcBorders>
            <w:shd w:val="clear" w:color="auto" w:fill="auto"/>
            <w:hideMark/>
          </w:tcPr>
          <w:p w14:paraId="4DDD87C8" w14:textId="77777777" w:rsidR="006E6679" w:rsidRDefault="006E6679" w:rsidP="00B84099">
            <w:pPr>
              <w:autoSpaceDE w:val="0"/>
              <w:autoSpaceDN w:val="0"/>
              <w:adjustRightInd w:val="0"/>
              <w:spacing w:line="240" w:lineRule="auto"/>
              <w:jc w:val="both"/>
              <w:rPr>
                <w:rFonts w:eastAsia="Calibri" w:cs="Times New Roman"/>
                <w:b/>
                <w:i/>
                <w:iCs/>
                <w:noProof/>
                <w:color w:val="343433"/>
                <w:sz w:val="22"/>
                <w:lang w:eastAsia="mn-MN"/>
              </w:rPr>
            </w:pPr>
            <w:r w:rsidRPr="006E6679">
              <w:rPr>
                <w:rFonts w:eastAsia="Calibri" w:cs="Times New Roman"/>
                <w:b/>
                <w:i/>
                <w:iCs/>
                <w:noProof/>
                <w:color w:val="343433"/>
                <w:sz w:val="22"/>
                <w:lang w:eastAsia="mn-MN"/>
              </w:rPr>
              <w:lastRenderedPageBreak/>
              <w:t xml:space="preserve">Board Responsibilities </w:t>
            </w:r>
          </w:p>
          <w:p w14:paraId="1F13F7A2" w14:textId="6F3ABFD6" w:rsidR="00B84099" w:rsidRPr="00EE516D" w:rsidRDefault="006E6679" w:rsidP="00B84099">
            <w:pPr>
              <w:autoSpaceDE w:val="0"/>
              <w:autoSpaceDN w:val="0"/>
              <w:adjustRightInd w:val="0"/>
              <w:spacing w:line="240" w:lineRule="auto"/>
              <w:jc w:val="both"/>
              <w:rPr>
                <w:rFonts w:cs="Times New Roman"/>
                <w:i/>
                <w:iCs/>
                <w:noProof/>
                <w:sz w:val="22"/>
              </w:rPr>
            </w:pPr>
            <w:r w:rsidRPr="006E6679">
              <w:rPr>
                <w:rFonts w:cs="Times New Roman"/>
                <w:i/>
                <w:iCs/>
                <w:noProof/>
                <w:sz w:val="22"/>
              </w:rPr>
              <w:t>The Board of Directors (The Board) is accountable to the shareholders for the performance of the MSE.</w:t>
            </w:r>
            <w:r w:rsidR="00B84099" w:rsidRPr="00EE516D">
              <w:rPr>
                <w:rFonts w:cs="Times New Roman"/>
                <w:i/>
                <w:iCs/>
                <w:noProof/>
                <w:sz w:val="22"/>
              </w:rPr>
              <w:t>.</w:t>
            </w:r>
          </w:p>
          <w:p w14:paraId="5C0FC4E9" w14:textId="49A14C59" w:rsidR="00B84099" w:rsidRPr="00EE516D" w:rsidRDefault="006E6679" w:rsidP="00B84099">
            <w:pPr>
              <w:autoSpaceDE w:val="0"/>
              <w:autoSpaceDN w:val="0"/>
              <w:adjustRightInd w:val="0"/>
              <w:spacing w:line="240" w:lineRule="auto"/>
              <w:jc w:val="both"/>
              <w:rPr>
                <w:rFonts w:cs="Times New Roman"/>
                <w:i/>
                <w:iCs/>
                <w:noProof/>
                <w:sz w:val="22"/>
              </w:rPr>
            </w:pPr>
            <w:r w:rsidRPr="006E6679">
              <w:rPr>
                <w:rFonts w:cs="Times New Roman"/>
                <w:i/>
                <w:iCs/>
                <w:noProof/>
                <w:sz w:val="22"/>
              </w:rPr>
              <w:t>The Board is responsible for evaluating, reviewing, and appointing the CEO's performance results, internal control, risk management, and monitoring the implementation of laws and regulations. The period of the company's strategic plan for 2019-2021 has expired, and the strategy for the next mid-term plan, i.e. 2022-2024, has been determined, its implementation has been monitored, and guidelines and recommendations have been provided. During the reporting period, the executive management team of the Mongolian Stock Exchange held regular meetings to monitor the implementation of operational strategies, goals, and objectives. The duties of the Board are clearly stated in the "Regulations of the Mongolian Stock Exchange" and "Rules of Procedure of the Board of Directors"</w:t>
            </w:r>
            <w:r w:rsidR="00B84099" w:rsidRPr="00EE516D">
              <w:rPr>
                <w:rFonts w:cs="Times New Roman"/>
                <w:i/>
                <w:iCs/>
                <w:noProof/>
                <w:sz w:val="22"/>
              </w:rPr>
              <w:t>.</w:t>
            </w:r>
          </w:p>
          <w:p w14:paraId="785E1674" w14:textId="77777777" w:rsidR="00003FD0" w:rsidRDefault="00003FD0" w:rsidP="00B84099">
            <w:pPr>
              <w:autoSpaceDE w:val="0"/>
              <w:autoSpaceDN w:val="0"/>
              <w:adjustRightInd w:val="0"/>
              <w:spacing w:line="240" w:lineRule="auto"/>
              <w:jc w:val="both"/>
              <w:rPr>
                <w:rFonts w:eastAsia="Calibri" w:cs="Times New Roman"/>
                <w:b/>
                <w:i/>
                <w:iCs/>
                <w:noProof/>
                <w:color w:val="343433"/>
                <w:sz w:val="22"/>
                <w:lang w:eastAsia="mn-MN"/>
              </w:rPr>
            </w:pPr>
            <w:r w:rsidRPr="00003FD0">
              <w:rPr>
                <w:rFonts w:eastAsia="Calibri" w:cs="Times New Roman"/>
                <w:b/>
                <w:i/>
                <w:iCs/>
                <w:noProof/>
                <w:color w:val="343433"/>
                <w:sz w:val="22"/>
                <w:lang w:eastAsia="mn-MN"/>
              </w:rPr>
              <w:t xml:space="preserve">Committees under The Board </w:t>
            </w:r>
          </w:p>
          <w:p w14:paraId="3DEAF916" w14:textId="583EB72C" w:rsidR="00B84099" w:rsidRPr="00EE516D" w:rsidRDefault="00003FD0" w:rsidP="00B84099">
            <w:pPr>
              <w:autoSpaceDE w:val="0"/>
              <w:autoSpaceDN w:val="0"/>
              <w:adjustRightInd w:val="0"/>
              <w:spacing w:line="240" w:lineRule="auto"/>
              <w:jc w:val="both"/>
              <w:rPr>
                <w:rFonts w:cs="Times New Roman"/>
                <w:i/>
                <w:iCs/>
                <w:noProof/>
                <w:sz w:val="22"/>
                <w:lang w:val="en-US"/>
              </w:rPr>
            </w:pPr>
            <w:r w:rsidRPr="00003FD0">
              <w:rPr>
                <w:rFonts w:cs="Times New Roman"/>
                <w:i/>
                <w:iCs/>
                <w:noProof/>
                <w:sz w:val="22"/>
                <w:lang w:val="en-US"/>
              </w:rPr>
              <w:t xml:space="preserve">MSE has </w:t>
            </w:r>
            <w:r>
              <w:rPr>
                <w:rFonts w:cs="Times New Roman"/>
                <w:i/>
                <w:iCs/>
                <w:noProof/>
                <w:sz w:val="22"/>
                <w:lang w:val="en-US"/>
              </w:rPr>
              <w:t>4</w:t>
            </w:r>
            <w:r w:rsidRPr="00003FD0">
              <w:rPr>
                <w:rFonts w:cs="Times New Roman"/>
                <w:i/>
                <w:iCs/>
                <w:noProof/>
                <w:sz w:val="22"/>
                <w:lang w:val="en-US"/>
              </w:rPr>
              <w:t xml:space="preserve"> permanent committees with set responsibilities assigned by the Board, and the main purpose of these committees is to form an opinion to support the decision-making activities of the board of directors. The activities of the committees are regulated by the "Rules of Procedures of the Board of Directors".</w:t>
            </w:r>
            <w:r w:rsidR="00B84099" w:rsidRPr="00EE516D">
              <w:rPr>
                <w:rFonts w:cs="Times New Roman"/>
                <w:i/>
                <w:iCs/>
                <w:noProof/>
                <w:sz w:val="22"/>
                <w:lang w:val="en-US"/>
              </w:rPr>
              <w:t>.</w:t>
            </w:r>
          </w:p>
          <w:p w14:paraId="7A62906A" w14:textId="4BFBA5FF" w:rsidR="00B84099" w:rsidRPr="00EE516D" w:rsidRDefault="00003FD0" w:rsidP="00B84099">
            <w:pPr>
              <w:autoSpaceDE w:val="0"/>
              <w:autoSpaceDN w:val="0"/>
              <w:adjustRightInd w:val="0"/>
              <w:spacing w:after="0" w:line="240" w:lineRule="auto"/>
              <w:jc w:val="both"/>
              <w:rPr>
                <w:rFonts w:cs="Times New Roman"/>
                <w:i/>
                <w:iCs/>
                <w:noProof/>
                <w:color w:val="000000"/>
                <w:sz w:val="22"/>
              </w:rPr>
            </w:pPr>
            <w:r>
              <w:rPr>
                <w:rFonts w:cs="Times New Roman"/>
                <w:i/>
                <w:iCs/>
                <w:noProof/>
                <w:color w:val="000000"/>
                <w:sz w:val="22"/>
                <w:lang w:val="en-US"/>
              </w:rPr>
              <w:t>Committees of the Board</w:t>
            </w:r>
            <w:r w:rsidR="00B84099" w:rsidRPr="00EE516D">
              <w:rPr>
                <w:rFonts w:cs="Times New Roman"/>
                <w:i/>
                <w:iCs/>
                <w:noProof/>
                <w:color w:val="000000"/>
                <w:sz w:val="22"/>
              </w:rPr>
              <w:t>:</w:t>
            </w:r>
          </w:p>
          <w:p w14:paraId="324B2107" w14:textId="0DDB5238" w:rsidR="00B84099" w:rsidRPr="00EE516D" w:rsidRDefault="00003FD0" w:rsidP="00B84099">
            <w:pPr>
              <w:pStyle w:val="ListParagraph"/>
              <w:numPr>
                <w:ilvl w:val="0"/>
                <w:numId w:val="1"/>
              </w:numPr>
              <w:autoSpaceDE w:val="0"/>
              <w:autoSpaceDN w:val="0"/>
              <w:adjustRightInd w:val="0"/>
              <w:spacing w:after="0" w:line="240" w:lineRule="auto"/>
              <w:jc w:val="both"/>
              <w:rPr>
                <w:rFonts w:cs="Times New Roman"/>
                <w:i/>
                <w:iCs/>
                <w:noProof/>
                <w:color w:val="000000"/>
                <w:sz w:val="22"/>
              </w:rPr>
            </w:pPr>
            <w:r>
              <w:rPr>
                <w:rFonts w:cs="Times New Roman"/>
                <w:i/>
                <w:iCs/>
                <w:noProof/>
                <w:color w:val="000000"/>
                <w:sz w:val="22"/>
                <w:lang w:val="en-US"/>
              </w:rPr>
              <w:t>Nomination committee</w:t>
            </w:r>
            <w:r w:rsidR="00B84099" w:rsidRPr="00EE516D">
              <w:rPr>
                <w:rFonts w:cs="Times New Roman"/>
                <w:i/>
                <w:iCs/>
                <w:noProof/>
                <w:color w:val="000000"/>
                <w:sz w:val="22"/>
              </w:rPr>
              <w:t>;</w:t>
            </w:r>
          </w:p>
          <w:p w14:paraId="073EE063" w14:textId="6EE65FDC" w:rsidR="00B84099" w:rsidRPr="00EE516D" w:rsidRDefault="00003FD0" w:rsidP="00B84099">
            <w:pPr>
              <w:pStyle w:val="ListParagraph"/>
              <w:numPr>
                <w:ilvl w:val="0"/>
                <w:numId w:val="1"/>
              </w:numPr>
              <w:autoSpaceDE w:val="0"/>
              <w:autoSpaceDN w:val="0"/>
              <w:adjustRightInd w:val="0"/>
              <w:spacing w:after="0" w:line="240" w:lineRule="auto"/>
              <w:jc w:val="both"/>
              <w:rPr>
                <w:rFonts w:cs="Times New Roman"/>
                <w:i/>
                <w:iCs/>
                <w:noProof/>
                <w:color w:val="000000"/>
                <w:sz w:val="22"/>
              </w:rPr>
            </w:pPr>
            <w:r>
              <w:rPr>
                <w:rFonts w:cs="Times New Roman"/>
                <w:i/>
                <w:iCs/>
                <w:noProof/>
                <w:color w:val="000000"/>
                <w:sz w:val="22"/>
                <w:lang w:val="en-US"/>
              </w:rPr>
              <w:t>Audit committee</w:t>
            </w:r>
            <w:r w:rsidR="00B84099" w:rsidRPr="00EE516D">
              <w:rPr>
                <w:rFonts w:cs="Times New Roman"/>
                <w:i/>
                <w:iCs/>
                <w:noProof/>
                <w:color w:val="000000"/>
                <w:sz w:val="22"/>
              </w:rPr>
              <w:t>;</w:t>
            </w:r>
          </w:p>
          <w:p w14:paraId="1232FD73" w14:textId="0C8757C7" w:rsidR="00B84099" w:rsidRPr="00EE516D" w:rsidRDefault="00003FD0" w:rsidP="00B84099">
            <w:pPr>
              <w:pStyle w:val="ListParagraph"/>
              <w:numPr>
                <w:ilvl w:val="0"/>
                <w:numId w:val="1"/>
              </w:numPr>
              <w:autoSpaceDE w:val="0"/>
              <w:autoSpaceDN w:val="0"/>
              <w:adjustRightInd w:val="0"/>
              <w:spacing w:line="240" w:lineRule="auto"/>
              <w:jc w:val="both"/>
              <w:rPr>
                <w:rFonts w:cs="Times New Roman"/>
                <w:i/>
                <w:iCs/>
                <w:noProof/>
                <w:color w:val="000000"/>
                <w:sz w:val="22"/>
              </w:rPr>
            </w:pPr>
            <w:r>
              <w:rPr>
                <w:rFonts w:cs="Times New Roman"/>
                <w:i/>
                <w:iCs/>
                <w:noProof/>
                <w:color w:val="000000"/>
                <w:sz w:val="22"/>
                <w:lang w:val="en-US"/>
              </w:rPr>
              <w:t>Remuneration committee</w:t>
            </w:r>
            <w:r w:rsidR="00B84099" w:rsidRPr="00EE516D">
              <w:rPr>
                <w:rFonts w:cs="Times New Roman"/>
                <w:i/>
                <w:iCs/>
                <w:noProof/>
                <w:color w:val="000000"/>
                <w:sz w:val="22"/>
              </w:rPr>
              <w:t>.</w:t>
            </w:r>
          </w:p>
          <w:p w14:paraId="4931E331" w14:textId="11DE6744" w:rsidR="00B84099" w:rsidRPr="00EE516D" w:rsidRDefault="00003FD0" w:rsidP="00B84099">
            <w:pPr>
              <w:pStyle w:val="ListParagraph"/>
              <w:numPr>
                <w:ilvl w:val="0"/>
                <w:numId w:val="1"/>
              </w:numPr>
              <w:autoSpaceDE w:val="0"/>
              <w:autoSpaceDN w:val="0"/>
              <w:adjustRightInd w:val="0"/>
              <w:spacing w:line="240" w:lineRule="auto"/>
              <w:jc w:val="both"/>
              <w:rPr>
                <w:rFonts w:cs="Times New Roman"/>
                <w:i/>
                <w:iCs/>
                <w:noProof/>
                <w:color w:val="000000"/>
                <w:sz w:val="22"/>
              </w:rPr>
            </w:pPr>
            <w:r>
              <w:rPr>
                <w:rFonts w:cs="Times New Roman"/>
                <w:i/>
                <w:iCs/>
                <w:noProof/>
                <w:color w:val="000000"/>
                <w:sz w:val="22"/>
                <w:lang w:val="en-US"/>
              </w:rPr>
              <w:t>Risk</w:t>
            </w:r>
            <w:r w:rsidR="00B84099" w:rsidRPr="00EE516D">
              <w:rPr>
                <w:rFonts w:cs="Times New Roman"/>
                <w:i/>
                <w:iCs/>
                <w:noProof/>
                <w:color w:val="000000"/>
                <w:sz w:val="22"/>
              </w:rPr>
              <w:t xml:space="preserve"> </w:t>
            </w:r>
            <w:r w:rsidR="00B84099" w:rsidRPr="00EE516D">
              <w:rPr>
                <w:rFonts w:cs="Times New Roman"/>
                <w:i/>
                <w:iCs/>
                <w:noProof/>
                <w:color w:val="000000"/>
                <w:sz w:val="22"/>
                <w:lang w:val="en-US"/>
              </w:rPr>
              <w:t>(</w:t>
            </w:r>
            <w:r>
              <w:rPr>
                <w:rFonts w:cs="Times New Roman"/>
                <w:i/>
                <w:iCs/>
                <w:noProof/>
                <w:color w:val="000000"/>
                <w:sz w:val="22"/>
                <w:lang w:val="en-US"/>
              </w:rPr>
              <w:t>compliance</w:t>
            </w:r>
            <w:r w:rsidR="00B84099" w:rsidRPr="00EE516D">
              <w:rPr>
                <w:rFonts w:cs="Times New Roman"/>
                <w:i/>
                <w:iCs/>
                <w:noProof/>
                <w:color w:val="000000"/>
                <w:sz w:val="22"/>
                <w:lang w:val="en-US"/>
              </w:rPr>
              <w:t>)</w:t>
            </w:r>
            <w:r w:rsidR="001D4BDA">
              <w:rPr>
                <w:rFonts w:cs="Times New Roman"/>
                <w:i/>
                <w:iCs/>
                <w:noProof/>
                <w:color w:val="000000"/>
                <w:sz w:val="22"/>
                <w:lang w:val="en-US"/>
              </w:rPr>
              <w:t xml:space="preserve"> management</w:t>
            </w:r>
            <w:r>
              <w:rPr>
                <w:rFonts w:cs="Times New Roman"/>
                <w:i/>
                <w:iCs/>
                <w:noProof/>
                <w:color w:val="000000"/>
                <w:sz w:val="22"/>
                <w:lang w:val="en-US"/>
              </w:rPr>
              <w:t xml:space="preserve"> committee.</w:t>
            </w:r>
          </w:p>
          <w:p w14:paraId="19E5B468" w14:textId="01C5A65C" w:rsidR="00B84099" w:rsidRPr="00EE516D" w:rsidRDefault="001D4BDA" w:rsidP="00B84099">
            <w:pPr>
              <w:autoSpaceDE w:val="0"/>
              <w:autoSpaceDN w:val="0"/>
              <w:adjustRightInd w:val="0"/>
              <w:spacing w:after="0" w:line="240" w:lineRule="auto"/>
              <w:jc w:val="both"/>
              <w:rPr>
                <w:rFonts w:cs="Times New Roman"/>
                <w:i/>
                <w:iCs/>
                <w:noProof/>
                <w:color w:val="000000"/>
                <w:sz w:val="22"/>
              </w:rPr>
            </w:pPr>
            <w:r w:rsidRPr="001D4BDA">
              <w:rPr>
                <w:rFonts w:cs="Times New Roman"/>
                <w:i/>
                <w:iCs/>
                <w:noProof/>
                <w:color w:val="000000"/>
                <w:sz w:val="22"/>
              </w:rPr>
              <w:t>The Board member can serve on more than one committee. The Companies Act stipulates that an independent member of the Board shall serve on the audit committee</w:t>
            </w:r>
            <w:r w:rsidR="00B84099" w:rsidRPr="00EE516D">
              <w:rPr>
                <w:rFonts w:cs="Times New Roman"/>
                <w:i/>
                <w:iCs/>
                <w:noProof/>
                <w:color w:val="000000"/>
                <w:sz w:val="22"/>
              </w:rPr>
              <w:t>.</w:t>
            </w:r>
          </w:p>
          <w:p w14:paraId="46BF328B" w14:textId="77777777" w:rsidR="00D52C4E" w:rsidRDefault="00D52C4E" w:rsidP="00B84099">
            <w:pPr>
              <w:autoSpaceDE w:val="0"/>
              <w:autoSpaceDN w:val="0"/>
              <w:adjustRightInd w:val="0"/>
              <w:spacing w:after="0" w:line="240" w:lineRule="auto"/>
              <w:jc w:val="both"/>
              <w:rPr>
                <w:rFonts w:eastAsia="Calibri" w:cs="Times New Roman"/>
                <w:b/>
                <w:i/>
                <w:iCs/>
                <w:noProof/>
                <w:color w:val="343433"/>
                <w:sz w:val="22"/>
                <w:lang w:eastAsia="mn-MN"/>
              </w:rPr>
            </w:pPr>
            <w:r w:rsidRPr="00D52C4E">
              <w:rPr>
                <w:rFonts w:eastAsia="Calibri" w:cs="Times New Roman"/>
                <w:b/>
                <w:i/>
                <w:iCs/>
                <w:noProof/>
                <w:color w:val="343433"/>
                <w:sz w:val="22"/>
                <w:lang w:eastAsia="mn-MN"/>
              </w:rPr>
              <w:t>Nomination, appointment, and renewal of the Board members</w:t>
            </w:r>
          </w:p>
          <w:p w14:paraId="6031FA79" w14:textId="45EBDA73" w:rsidR="00B84099" w:rsidRPr="00EE516D" w:rsidRDefault="00BC6AE5" w:rsidP="00B84099">
            <w:pPr>
              <w:autoSpaceDE w:val="0"/>
              <w:autoSpaceDN w:val="0"/>
              <w:adjustRightInd w:val="0"/>
              <w:spacing w:after="0" w:line="240" w:lineRule="auto"/>
              <w:jc w:val="both"/>
              <w:rPr>
                <w:rFonts w:cs="Times New Roman"/>
                <w:i/>
                <w:iCs/>
                <w:noProof/>
                <w:color w:val="000000"/>
                <w:sz w:val="22"/>
              </w:rPr>
            </w:pPr>
            <w:r w:rsidRPr="00BC6AE5">
              <w:rPr>
                <w:rFonts w:cs="Times New Roman"/>
                <w:i/>
                <w:iCs/>
                <w:noProof/>
                <w:color w:val="000000"/>
                <w:sz w:val="22"/>
              </w:rPr>
              <w:t xml:space="preserve">A nomination committee is established for the purpose of independent evaluation of the structure and composition of the Board. The Nomination Committee examines the skills and experience of the members of the Board, evaluates and reviews whether the members' skills are suitable for forming the operational strategy of the MSE, and monitors its implementation. Based on this assessment, a new member is nominated for the Board. Before appointing the members, a comprehensive investigation and inquiry are also carried out by the Companies Act and other relevant regulations on subjects such as education, skills, previous employment history, whether they have significant credit debts, or whether they have criminal </w:t>
            </w:r>
            <w:r w:rsidR="00440CB9">
              <w:rPr>
                <w:rFonts w:cs="Times New Roman"/>
                <w:i/>
                <w:iCs/>
                <w:noProof/>
                <w:color w:val="000000"/>
                <w:sz w:val="22"/>
              </w:rPr>
              <w:t>records</w:t>
            </w:r>
            <w:r w:rsidR="00B84099" w:rsidRPr="00EE516D">
              <w:rPr>
                <w:rFonts w:cs="Times New Roman"/>
                <w:i/>
                <w:iCs/>
                <w:noProof/>
                <w:color w:val="000000"/>
                <w:sz w:val="22"/>
              </w:rPr>
              <w:t>.</w:t>
            </w:r>
          </w:p>
          <w:p w14:paraId="032075DA" w14:textId="77777777" w:rsidR="00440CB9" w:rsidRDefault="00440CB9" w:rsidP="00B84099">
            <w:pPr>
              <w:autoSpaceDE w:val="0"/>
              <w:autoSpaceDN w:val="0"/>
              <w:adjustRightInd w:val="0"/>
              <w:spacing w:line="240" w:lineRule="auto"/>
              <w:jc w:val="both"/>
              <w:rPr>
                <w:rFonts w:eastAsia="Calibri" w:cs="Times New Roman"/>
                <w:b/>
                <w:bCs/>
                <w:i/>
                <w:iCs/>
                <w:noProof/>
                <w:color w:val="000000" w:themeColor="text1"/>
                <w:sz w:val="22"/>
                <w:lang w:eastAsia="mn-MN"/>
              </w:rPr>
            </w:pPr>
            <w:r w:rsidRPr="00440CB9">
              <w:rPr>
                <w:rFonts w:eastAsia="Calibri" w:cs="Times New Roman"/>
                <w:b/>
                <w:bCs/>
                <w:i/>
                <w:iCs/>
                <w:noProof/>
                <w:color w:val="000000" w:themeColor="text1"/>
                <w:sz w:val="22"/>
                <w:lang w:eastAsia="mn-MN"/>
              </w:rPr>
              <w:t>Release or re-election of members of the Board</w:t>
            </w:r>
          </w:p>
          <w:p w14:paraId="0CDCF410" w14:textId="16FAE005" w:rsidR="00267FE6" w:rsidRPr="00EE516D" w:rsidRDefault="00A76370" w:rsidP="00B84099">
            <w:pPr>
              <w:autoSpaceDE w:val="0"/>
              <w:autoSpaceDN w:val="0"/>
              <w:adjustRightInd w:val="0"/>
              <w:spacing w:line="240" w:lineRule="auto"/>
              <w:jc w:val="both"/>
              <w:rPr>
                <w:rFonts w:cs="Times New Roman"/>
                <w:i/>
                <w:iCs/>
                <w:noProof/>
                <w:color w:val="000000" w:themeColor="text1"/>
                <w:sz w:val="22"/>
              </w:rPr>
            </w:pPr>
            <w:r w:rsidRPr="00A76370">
              <w:rPr>
                <w:rFonts w:cs="Times New Roman"/>
                <w:i/>
                <w:iCs/>
                <w:noProof/>
                <w:sz w:val="22"/>
              </w:rPr>
              <w:t xml:space="preserve">The members of the board of directors are elected by the shareholders' meeting for a term of </w:t>
            </w:r>
            <w:r>
              <w:rPr>
                <w:rFonts w:cs="Times New Roman"/>
                <w:i/>
                <w:iCs/>
                <w:noProof/>
                <w:sz w:val="22"/>
                <w:lang w:val="en-US"/>
              </w:rPr>
              <w:t>3 years</w:t>
            </w:r>
            <w:r w:rsidRPr="00A76370">
              <w:rPr>
                <w:rFonts w:cs="Times New Roman"/>
                <w:i/>
                <w:iCs/>
                <w:noProof/>
                <w:sz w:val="22"/>
              </w:rPr>
              <w:t>, and the member can be reelected</w:t>
            </w:r>
            <w:r w:rsidR="00B84099" w:rsidRPr="00EE516D">
              <w:rPr>
                <w:rFonts w:cs="Times New Roman"/>
                <w:i/>
                <w:iCs/>
                <w:noProof/>
                <w:sz w:val="22"/>
              </w:rPr>
              <w:t xml:space="preserve">. </w:t>
            </w:r>
            <w:r w:rsidR="005E79B6" w:rsidRPr="005E79B6">
              <w:rPr>
                <w:rFonts w:cs="Times New Roman"/>
                <w:i/>
                <w:iCs/>
                <w:noProof/>
                <w:sz w:val="22"/>
              </w:rPr>
              <w:t>The Board may temporarily appoint a member in place of the Board member who has submitted a request for release until a replacement member is elected</w:t>
            </w:r>
            <w:r w:rsidR="00B84099" w:rsidRPr="00EE516D">
              <w:rPr>
                <w:rFonts w:cs="Times New Roman"/>
                <w:i/>
                <w:iCs/>
                <w:noProof/>
                <w:sz w:val="22"/>
              </w:rPr>
              <w:t>.</w:t>
            </w:r>
            <w:r w:rsidR="00B84099" w:rsidRPr="00EE516D">
              <w:rPr>
                <w:rFonts w:cs="Times New Roman"/>
                <w:i/>
                <w:iCs/>
                <w:noProof/>
                <w:color w:val="000000" w:themeColor="text1"/>
                <w:sz w:val="22"/>
              </w:rPr>
              <w:t xml:space="preserve"> </w:t>
            </w:r>
            <w:r w:rsidR="00267FE6" w:rsidRPr="00267FE6">
              <w:rPr>
                <w:rFonts w:cs="Times New Roman"/>
                <w:i/>
                <w:iCs/>
                <w:noProof/>
                <w:color w:val="000000" w:themeColor="text1"/>
                <w:sz w:val="22"/>
              </w:rPr>
              <w:t>In 2023, members S. Tulga, Ch. Dondogmaa, D. Bayanzul, M. Sanjaadorj, L. Naranchimeg, R. Gandiimaa, and A. Anar were re-elected. D. Enkhbaatar and A. Batpurev were released at their own request, and G. Lkhagvadorj and G. Lhamdulam were</w:t>
            </w:r>
            <w:r w:rsidR="00D536AA">
              <w:rPr>
                <w:rFonts w:cs="Times New Roman"/>
                <w:i/>
                <w:iCs/>
                <w:noProof/>
                <w:color w:val="000000" w:themeColor="text1"/>
                <w:sz w:val="22"/>
                <w:lang w:val="en-US"/>
              </w:rPr>
              <w:t xml:space="preserve"> appointed in their place</w:t>
            </w:r>
            <w:r w:rsidR="00267FE6" w:rsidRPr="00267FE6">
              <w:rPr>
                <w:rFonts w:cs="Times New Roman"/>
                <w:i/>
                <w:iCs/>
                <w:noProof/>
                <w:color w:val="000000" w:themeColor="text1"/>
                <w:sz w:val="22"/>
              </w:rPr>
              <w:t xml:space="preserve">. </w:t>
            </w:r>
            <w:r w:rsidR="00D536AA">
              <w:rPr>
                <w:rFonts w:cs="Times New Roman"/>
                <w:i/>
                <w:iCs/>
                <w:noProof/>
                <w:color w:val="000000" w:themeColor="text1"/>
                <w:sz w:val="22"/>
                <w:lang w:val="en-US"/>
              </w:rPr>
              <w:t>At</w:t>
            </w:r>
            <w:r w:rsidR="00267FE6" w:rsidRPr="00267FE6">
              <w:rPr>
                <w:rFonts w:cs="Times New Roman"/>
                <w:i/>
                <w:iCs/>
                <w:noProof/>
                <w:color w:val="000000" w:themeColor="text1"/>
                <w:sz w:val="22"/>
              </w:rPr>
              <w:t xml:space="preserve"> an extraordinary meeting of shareholders, S. Tulga, Ch. Dondogmaa, D. Bayanzul, M. Sanjaadorj, L. Naranchimeg, R. Gandiimaa, A. Anar, G. Lkhagvadorj, G. Lhamdulam were dismissed, and D. Togtohbayar, J. Tsogtbayar, J. Byambasuren, T. Ganbaatar, S. Bayantsogt, R. M</w:t>
            </w:r>
            <w:r w:rsidR="00D536AA">
              <w:rPr>
                <w:rFonts w:cs="Times New Roman"/>
                <w:i/>
                <w:iCs/>
                <w:noProof/>
                <w:color w:val="000000" w:themeColor="text1"/>
                <w:sz w:val="22"/>
                <w:lang w:val="en-US"/>
              </w:rPr>
              <w:t>u</w:t>
            </w:r>
            <w:r w:rsidR="00267FE6" w:rsidRPr="00267FE6">
              <w:rPr>
                <w:rFonts w:cs="Times New Roman"/>
                <w:i/>
                <w:iCs/>
                <w:noProof/>
                <w:color w:val="000000" w:themeColor="text1"/>
                <w:sz w:val="22"/>
              </w:rPr>
              <w:t>nkht</w:t>
            </w:r>
            <w:r w:rsidR="00D536AA">
              <w:rPr>
                <w:rFonts w:cs="Times New Roman"/>
                <w:i/>
                <w:iCs/>
                <w:noProof/>
                <w:color w:val="000000" w:themeColor="text1"/>
                <w:sz w:val="22"/>
                <w:lang w:val="en-US"/>
              </w:rPr>
              <w:t>u</w:t>
            </w:r>
            <w:r w:rsidR="00267FE6" w:rsidRPr="00267FE6">
              <w:rPr>
                <w:rFonts w:cs="Times New Roman"/>
                <w:i/>
                <w:iCs/>
                <w:noProof/>
                <w:color w:val="000000" w:themeColor="text1"/>
                <w:sz w:val="22"/>
              </w:rPr>
              <w:t>r, N. Ulaanhuu, N. Otgonchimeg, and M. Banzragch were newly appointed.</w:t>
            </w:r>
          </w:p>
          <w:p w14:paraId="29008D25" w14:textId="29C29935" w:rsidR="00B84099" w:rsidRPr="00D0035B" w:rsidRDefault="00D0035B" w:rsidP="00B84099">
            <w:pPr>
              <w:pStyle w:val="Heading3"/>
              <w:spacing w:line="240" w:lineRule="auto"/>
              <w:rPr>
                <w:rFonts w:ascii="Times New Roman" w:hAnsi="Times New Roman" w:cs="Times New Roman"/>
                <w:bCs/>
                <w:i/>
                <w:iCs/>
                <w:noProof/>
                <w:color w:val="000000" w:themeColor="text1"/>
                <w:sz w:val="22"/>
                <w:lang w:val="en-US"/>
              </w:rPr>
            </w:pPr>
            <w:r>
              <w:rPr>
                <w:rFonts w:ascii="Times New Roman" w:hAnsi="Times New Roman" w:cs="Times New Roman"/>
                <w:bCs/>
                <w:i/>
                <w:iCs/>
                <w:noProof/>
                <w:color w:val="000000" w:themeColor="text1"/>
                <w:sz w:val="22"/>
                <w:lang w:val="en-US"/>
              </w:rPr>
              <w:t>The Board Secretary</w:t>
            </w:r>
          </w:p>
          <w:p w14:paraId="15339884" w14:textId="6741C8D1" w:rsidR="00B84099" w:rsidRPr="00EE516D" w:rsidRDefault="00D0035B" w:rsidP="00B84099">
            <w:pPr>
              <w:spacing w:line="240" w:lineRule="auto"/>
              <w:jc w:val="both"/>
              <w:rPr>
                <w:rFonts w:cs="Times New Roman"/>
                <w:i/>
                <w:iCs/>
                <w:noProof/>
                <w:sz w:val="22"/>
              </w:rPr>
            </w:pPr>
            <w:r w:rsidRPr="00D0035B">
              <w:rPr>
                <w:rFonts w:cs="Times New Roman"/>
                <w:i/>
                <w:iCs/>
                <w:noProof/>
                <w:sz w:val="22"/>
              </w:rPr>
              <w:t>The Board is responsible for appointing a secretary who is directly responsible for ensuring smooth operations and coordination between shareholders' meetings, the Board, the executive director, and other stakeholders. The Board secretary must be certified in the field of corporate governance and is appointed by the Board at the recommendation of the chairman of the Board</w:t>
            </w:r>
            <w:r w:rsidR="00B84099" w:rsidRPr="00EE516D">
              <w:rPr>
                <w:rFonts w:cs="Times New Roman"/>
                <w:i/>
                <w:iCs/>
                <w:noProof/>
                <w:sz w:val="22"/>
              </w:rPr>
              <w:t>.</w:t>
            </w:r>
          </w:p>
          <w:p w14:paraId="448C2B3A" w14:textId="29F057D4" w:rsidR="005E58DA" w:rsidRPr="005E58DA" w:rsidRDefault="00D0035B" w:rsidP="00B84099">
            <w:pPr>
              <w:spacing w:line="240" w:lineRule="auto"/>
              <w:jc w:val="both"/>
              <w:rPr>
                <w:rFonts w:eastAsia="Times New Roman" w:cs="Times New Roman"/>
                <w:i/>
                <w:iCs/>
                <w:color w:val="000000"/>
                <w:sz w:val="20"/>
                <w:szCs w:val="20"/>
                <w:lang w:eastAsia="mn-MN"/>
              </w:rPr>
            </w:pPr>
            <w:r>
              <w:rPr>
                <w:rFonts w:cs="Times New Roman"/>
                <w:i/>
                <w:iCs/>
                <w:noProof/>
                <w:sz w:val="22"/>
                <w:lang w:val="en-US"/>
              </w:rPr>
              <w:t>A</w:t>
            </w:r>
            <w:r w:rsidRPr="00D0035B">
              <w:rPr>
                <w:rFonts w:cs="Times New Roman"/>
                <w:i/>
                <w:iCs/>
                <w:noProof/>
                <w:sz w:val="22"/>
              </w:rPr>
              <w:t xml:space="preserve"> new </w:t>
            </w:r>
            <w:r>
              <w:rPr>
                <w:rFonts w:cs="Times New Roman"/>
                <w:i/>
                <w:iCs/>
                <w:noProof/>
                <w:sz w:val="22"/>
                <w:lang w:val="en-US"/>
              </w:rPr>
              <w:t>secretary</w:t>
            </w:r>
            <w:r w:rsidRPr="00D0035B">
              <w:rPr>
                <w:rFonts w:cs="Times New Roman"/>
                <w:i/>
                <w:iCs/>
                <w:noProof/>
                <w:sz w:val="22"/>
              </w:rPr>
              <w:t xml:space="preserve"> was appointed in May 2023 and the relevant certificate was obtained</w:t>
            </w:r>
            <w:r w:rsidR="007C70FF" w:rsidRPr="00EE516D">
              <w:rPr>
                <w:rFonts w:cs="Times New Roman"/>
                <w:i/>
                <w:iCs/>
                <w:noProof/>
                <w:szCs w:val="24"/>
              </w:rPr>
              <w:t>.</w:t>
            </w:r>
          </w:p>
        </w:tc>
      </w:tr>
      <w:tr w:rsidR="0071144A" w:rsidRPr="006B0BDD" w14:paraId="001A0F7F" w14:textId="77777777" w:rsidTr="007F27AC">
        <w:trPr>
          <w:trHeight w:val="17"/>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07DE3AB9" w14:textId="3BC3951D"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6</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737F923C" w14:textId="2CAD13C0" w:rsidR="008B1D5B" w:rsidRPr="000F26FA" w:rsidRDefault="000F26FA" w:rsidP="008B1D5B">
            <w:pPr>
              <w:spacing w:after="0" w:line="240" w:lineRule="auto"/>
              <w:rPr>
                <w:rFonts w:eastAsia="Times New Roman" w:cs="Times New Roman"/>
                <w:i/>
                <w:iCs/>
                <w:color w:val="000000"/>
                <w:szCs w:val="24"/>
                <w:lang w:val="en-US" w:eastAsia="mn-MN"/>
              </w:rPr>
            </w:pPr>
            <w:r>
              <w:rPr>
                <w:rFonts w:eastAsia="Times New Roman" w:cs="Times New Roman"/>
                <w:i/>
                <w:iCs/>
                <w:color w:val="000000"/>
                <w:szCs w:val="24"/>
                <w:lang w:val="en-US" w:eastAsia="mn-MN"/>
              </w:rPr>
              <w:t>Information on market risk</w:t>
            </w:r>
          </w:p>
        </w:tc>
      </w:tr>
      <w:tr w:rsidR="00827A23" w:rsidRPr="006B0BDD" w14:paraId="7D053023" w14:textId="77777777" w:rsidTr="00F92B2D">
        <w:trPr>
          <w:trHeight w:val="846"/>
        </w:trPr>
        <w:tc>
          <w:tcPr>
            <w:tcW w:w="10710" w:type="dxa"/>
            <w:gridSpan w:val="3"/>
            <w:tcBorders>
              <w:top w:val="nil"/>
              <w:left w:val="single" w:sz="4" w:space="0" w:color="auto"/>
              <w:bottom w:val="single" w:sz="4" w:space="0" w:color="auto"/>
              <w:right w:val="single" w:sz="4" w:space="0" w:color="000000"/>
            </w:tcBorders>
            <w:shd w:val="clear" w:color="auto" w:fill="auto"/>
            <w:hideMark/>
          </w:tcPr>
          <w:p w14:paraId="5810D6E8" w14:textId="4750AB05" w:rsidR="00C85813" w:rsidRPr="00EE516D" w:rsidRDefault="00C85813" w:rsidP="00C85813">
            <w:pPr>
              <w:jc w:val="both"/>
              <w:rPr>
                <w:rFonts w:eastAsia="Cambria" w:cs="Times New Roman"/>
                <w:i/>
                <w:iCs/>
                <w:color w:val="000000" w:themeColor="text1"/>
                <w:sz w:val="22"/>
              </w:rPr>
            </w:pPr>
            <w:r w:rsidRPr="002861E4">
              <w:rPr>
                <w:rFonts w:eastAsia="Cambria" w:cs="Times New Roman"/>
                <w:i/>
                <w:iCs/>
                <w:color w:val="000000" w:themeColor="text1"/>
                <w:sz w:val="22"/>
              </w:rPr>
              <w:t xml:space="preserve">"Risk Management Policy" is the main document that regulates the identification, assessment, management and prevention of risks that may arise in the company's operations. </w:t>
            </w:r>
            <w:r w:rsidRPr="001A6E86">
              <w:rPr>
                <w:rFonts w:eastAsia="Cambria" w:cs="Times New Roman"/>
                <w:i/>
                <w:iCs/>
                <w:color w:val="000000" w:themeColor="text1"/>
                <w:sz w:val="22"/>
              </w:rPr>
              <w:t>The policy was approved by the Board of Directors of</w:t>
            </w:r>
            <w:r w:rsidRPr="001A6E86">
              <w:rPr>
                <w:rFonts w:eastAsia="Cambria" w:cs="Times New Roman"/>
                <w:i/>
                <w:iCs/>
                <w:color w:val="000000" w:themeColor="text1"/>
                <w:sz w:val="22"/>
                <w:lang w:val="en-US"/>
              </w:rPr>
              <w:t xml:space="preserve"> the</w:t>
            </w:r>
            <w:r w:rsidRPr="001A6E86">
              <w:rPr>
                <w:rFonts w:eastAsia="Cambria" w:cs="Times New Roman"/>
                <w:i/>
                <w:iCs/>
                <w:color w:val="000000" w:themeColor="text1"/>
                <w:sz w:val="22"/>
              </w:rPr>
              <w:t xml:space="preserve"> "Mongolian Stock Exchange" JSC by Resolution No. 29 dated November 21, 2022</w:t>
            </w:r>
            <w:r w:rsidR="001A6E86">
              <w:rPr>
                <w:rFonts w:eastAsia="Cambria" w:cs="Times New Roman"/>
                <w:i/>
                <w:iCs/>
                <w:color w:val="000000" w:themeColor="text1"/>
                <w:sz w:val="22"/>
                <w:lang w:val="en-US"/>
              </w:rPr>
              <w:t xml:space="preserve">. </w:t>
            </w:r>
            <w:r w:rsidRPr="001A6E86">
              <w:rPr>
                <w:rFonts w:eastAsia="Cambria" w:cs="Times New Roman"/>
                <w:i/>
                <w:iCs/>
                <w:color w:val="000000" w:themeColor="text1"/>
                <w:sz w:val="22"/>
              </w:rPr>
              <w:t xml:space="preserve">The document is intended to </w:t>
            </w:r>
            <w:r w:rsidRPr="001A6E86">
              <w:rPr>
                <w:rFonts w:eastAsia="Cambria" w:cs="Times New Roman"/>
                <w:i/>
                <w:iCs/>
                <w:color w:val="000000" w:themeColor="text1"/>
                <w:sz w:val="22"/>
              </w:rPr>
              <w:lastRenderedPageBreak/>
              <w:t>increase the company's value, implement strategic goals, and support long-term growth and business stability</w:t>
            </w:r>
            <w:r w:rsidR="001A6E86" w:rsidRPr="001A6E86">
              <w:rPr>
                <w:rFonts w:eastAsia="Cambria" w:cs="Times New Roman"/>
                <w:i/>
                <w:iCs/>
                <w:color w:val="000000" w:themeColor="text1"/>
                <w:sz w:val="22"/>
                <w:lang w:val="en-US"/>
              </w:rPr>
              <w:t xml:space="preserve"> by</w:t>
            </w:r>
            <w:r w:rsidRPr="001A6E86">
              <w:rPr>
                <w:rFonts w:eastAsia="Cambria" w:cs="Times New Roman"/>
                <w:i/>
                <w:iCs/>
                <w:color w:val="000000" w:themeColor="text1"/>
                <w:sz w:val="22"/>
              </w:rPr>
              <w:t xml:space="preserve"> identifying, managing</w:t>
            </w:r>
            <w:r w:rsidR="001A6E86" w:rsidRPr="001A6E86">
              <w:rPr>
                <w:rFonts w:eastAsia="Cambria" w:cs="Times New Roman"/>
                <w:i/>
                <w:iCs/>
                <w:color w:val="000000" w:themeColor="text1"/>
                <w:sz w:val="22"/>
              </w:rPr>
              <w:t>,</w:t>
            </w:r>
            <w:r w:rsidRPr="001A6E86">
              <w:rPr>
                <w:rFonts w:eastAsia="Cambria" w:cs="Times New Roman"/>
                <w:i/>
                <w:iCs/>
                <w:color w:val="000000" w:themeColor="text1"/>
                <w:sz w:val="22"/>
              </w:rPr>
              <w:t xml:space="preserve"> and taking measures for the risks that may occur in the organization's </w:t>
            </w:r>
            <w:r w:rsidR="001A6E86" w:rsidRPr="001A6E86">
              <w:rPr>
                <w:rFonts w:eastAsia="Cambria" w:cs="Times New Roman"/>
                <w:i/>
                <w:iCs/>
                <w:color w:val="000000" w:themeColor="text1"/>
                <w:sz w:val="22"/>
                <w:lang w:val="en-US"/>
              </w:rPr>
              <w:t>operations</w:t>
            </w:r>
            <w:r w:rsidRPr="001A6E86">
              <w:rPr>
                <w:rFonts w:eastAsia="Cambria" w:cs="Times New Roman"/>
                <w:i/>
                <w:iCs/>
                <w:color w:val="000000" w:themeColor="text1"/>
                <w:sz w:val="22"/>
              </w:rPr>
              <w:t xml:space="preserve">, creating a system for monitoring and reporting the results, and fostering risk </w:t>
            </w:r>
            <w:r w:rsidR="001A6E86" w:rsidRPr="001A6E86">
              <w:rPr>
                <w:rFonts w:eastAsia="Cambria" w:cs="Times New Roman"/>
                <w:i/>
                <w:iCs/>
                <w:color w:val="000000" w:themeColor="text1"/>
                <w:sz w:val="22"/>
                <w:lang w:val="en-US"/>
              </w:rPr>
              <w:t>management system for the organization</w:t>
            </w:r>
            <w:r w:rsidRPr="001A6E86">
              <w:rPr>
                <w:rFonts w:eastAsia="Cambria" w:cs="Times New Roman"/>
                <w:i/>
                <w:iCs/>
                <w:color w:val="000000" w:themeColor="text1"/>
                <w:sz w:val="22"/>
              </w:rPr>
              <w:t>. According to the risk management policy document, risk factors that may have a material or non-material impact have been classified into 6 (six) areas as described below.</w:t>
            </w:r>
          </w:p>
          <w:tbl>
            <w:tblPr>
              <w:tblStyle w:val="Engiin"/>
              <w:tblW w:w="5000" w:type="pct"/>
              <w:tblBorders>
                <w:bottom w:val="single" w:sz="4" w:space="0" w:color="auto"/>
                <w:insideH w:val="single" w:sz="4" w:space="0" w:color="auto"/>
                <w:insideV w:val="single" w:sz="4" w:space="0" w:color="auto"/>
              </w:tblBorders>
              <w:tblLook w:val="04A0" w:firstRow="1" w:lastRow="0" w:firstColumn="1" w:lastColumn="0" w:noHBand="0" w:noVBand="1"/>
            </w:tblPr>
            <w:tblGrid>
              <w:gridCol w:w="2013"/>
              <w:gridCol w:w="5734"/>
              <w:gridCol w:w="2747"/>
            </w:tblGrid>
            <w:tr w:rsidR="00EE516D" w:rsidRPr="00EE516D" w14:paraId="00A995BE" w14:textId="77777777" w:rsidTr="0072699C">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959" w:type="pct"/>
                  <w:shd w:val="clear" w:color="auto" w:fill="004187"/>
                </w:tcPr>
                <w:p w14:paraId="15958A05" w14:textId="5F0C12AE" w:rsidR="00A66D4E" w:rsidRPr="00EE516D" w:rsidRDefault="001A6E86" w:rsidP="00EE516D">
                  <w:pPr>
                    <w:spacing w:line="276" w:lineRule="auto"/>
                    <w:jc w:val="both"/>
                    <w:rPr>
                      <w:rFonts w:ascii="Times New Roman" w:eastAsia="Times New Roman" w:hAnsi="Times New Roman" w:cs="Times New Roman"/>
                      <w:color w:val="FFFFFF" w:themeColor="background1"/>
                      <w:sz w:val="22"/>
                    </w:rPr>
                  </w:pPr>
                  <w:r>
                    <w:rPr>
                      <w:rFonts w:ascii="Times New Roman" w:eastAsia="Times New Roman" w:hAnsi="Times New Roman" w:cs="Times New Roman"/>
                      <w:color w:val="FFFFFF" w:themeColor="background1"/>
                      <w:sz w:val="22"/>
                    </w:rPr>
                    <w:t>Classification</w:t>
                  </w:r>
                </w:p>
              </w:tc>
              <w:tc>
                <w:tcPr>
                  <w:tcW w:w="2732" w:type="pct"/>
                  <w:shd w:val="clear" w:color="auto" w:fill="004187"/>
                </w:tcPr>
                <w:p w14:paraId="24DCA721" w14:textId="636D3651" w:rsidR="00A66D4E" w:rsidRPr="00EE516D" w:rsidRDefault="00F238DC" w:rsidP="00EE516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2"/>
                    </w:rPr>
                  </w:pPr>
                  <w:r>
                    <w:rPr>
                      <w:rFonts w:ascii="Times New Roman" w:eastAsia="Times New Roman" w:hAnsi="Times New Roman" w:cs="Times New Roman"/>
                      <w:color w:val="FFFFFF" w:themeColor="background1"/>
                      <w:sz w:val="22"/>
                    </w:rPr>
                    <w:t>Current situation</w:t>
                  </w:r>
                </w:p>
              </w:tc>
              <w:tc>
                <w:tcPr>
                  <w:tcW w:w="1309" w:type="pct"/>
                  <w:shd w:val="clear" w:color="auto" w:fill="004187"/>
                </w:tcPr>
                <w:p w14:paraId="40045124" w14:textId="455ECA74" w:rsidR="00A66D4E" w:rsidRPr="00EE516D" w:rsidRDefault="00F238DC" w:rsidP="00EE516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2"/>
                    </w:rPr>
                  </w:pPr>
                  <w:r>
                    <w:rPr>
                      <w:rFonts w:ascii="Times New Roman" w:eastAsia="Times New Roman" w:hAnsi="Times New Roman" w:cs="Times New Roman"/>
                      <w:color w:val="FFFFFF" w:themeColor="background1"/>
                      <w:sz w:val="22"/>
                    </w:rPr>
                    <w:t>Action</w:t>
                  </w:r>
                </w:p>
              </w:tc>
            </w:tr>
            <w:tr w:rsidR="00A66D4E" w:rsidRPr="00EE516D" w14:paraId="51AFE7AD" w14:textId="77777777" w:rsidTr="0072699C">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959" w:type="pct"/>
                </w:tcPr>
                <w:p w14:paraId="04E24E54" w14:textId="7A5E1309" w:rsidR="00A66D4E" w:rsidRPr="00EE516D" w:rsidRDefault="00F238DC" w:rsidP="00EE516D">
                  <w:pPr>
                    <w:pStyle w:val="a"/>
                    <w:spacing w:after="0"/>
                    <w:rPr>
                      <w:rFonts w:ascii="Times New Roman" w:hAnsi="Times New Roman"/>
                      <w:sz w:val="22"/>
                      <w:szCs w:val="22"/>
                    </w:rPr>
                  </w:pPr>
                  <w:r w:rsidRPr="00F238DC">
                    <w:rPr>
                      <w:rFonts w:ascii="Times New Roman" w:hAnsi="Times New Roman"/>
                      <w:sz w:val="22"/>
                      <w:szCs w:val="22"/>
                    </w:rPr>
                    <w:t>Strategic risk</w:t>
                  </w:r>
                </w:p>
              </w:tc>
              <w:tc>
                <w:tcPr>
                  <w:tcW w:w="2732" w:type="pct"/>
                </w:tcPr>
                <w:p w14:paraId="567B9A9B" w14:textId="432EDAD3" w:rsidR="006F6D90" w:rsidRPr="00EE516D" w:rsidRDefault="006F6D90"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F6D90">
                    <w:rPr>
                      <w:rFonts w:ascii="Times New Roman" w:hAnsi="Times New Roman"/>
                      <w:sz w:val="22"/>
                      <w:szCs w:val="22"/>
                    </w:rPr>
                    <w:t xml:space="preserve">Considering other competitors in the </w:t>
                  </w:r>
                  <w:r>
                    <w:rPr>
                      <w:rFonts w:ascii="Times New Roman" w:hAnsi="Times New Roman"/>
                      <w:sz w:val="22"/>
                      <w:szCs w:val="22"/>
                    </w:rPr>
                    <w:t>monetary</w:t>
                  </w:r>
                  <w:r w:rsidRPr="006F6D90">
                    <w:rPr>
                      <w:rFonts w:ascii="Times New Roman" w:hAnsi="Times New Roman"/>
                      <w:sz w:val="22"/>
                      <w:szCs w:val="22"/>
                    </w:rPr>
                    <w:t xml:space="preserve"> market, the central bank's policy interest rate has been fixed at 13 percent since 2023, which attract</w:t>
                  </w:r>
                  <w:r>
                    <w:rPr>
                      <w:rFonts w:ascii="Times New Roman" w:hAnsi="Times New Roman"/>
                      <w:sz w:val="22"/>
                      <w:szCs w:val="22"/>
                    </w:rPr>
                    <w:t>ed</w:t>
                  </w:r>
                  <w:r w:rsidRPr="006F6D90">
                    <w:rPr>
                      <w:rFonts w:ascii="Times New Roman" w:hAnsi="Times New Roman"/>
                      <w:sz w:val="22"/>
                      <w:szCs w:val="22"/>
                    </w:rPr>
                    <w:t xml:space="preserve"> investors' cash flow to products such as bank </w:t>
                  </w:r>
                  <w:r>
                    <w:rPr>
                      <w:rFonts w:ascii="Times New Roman" w:hAnsi="Times New Roman"/>
                      <w:sz w:val="22"/>
                      <w:szCs w:val="22"/>
                    </w:rPr>
                    <w:t>savings</w:t>
                  </w:r>
                  <w:r w:rsidRPr="006F6D90">
                    <w:rPr>
                      <w:rFonts w:ascii="Times New Roman" w:hAnsi="Times New Roman"/>
                      <w:sz w:val="22"/>
                      <w:szCs w:val="22"/>
                    </w:rPr>
                    <w:t xml:space="preserve">, bonds, and asset-backed securities that </w:t>
                  </w:r>
                  <w:r>
                    <w:rPr>
                      <w:rFonts w:ascii="Times New Roman" w:hAnsi="Times New Roman"/>
                      <w:sz w:val="22"/>
                      <w:szCs w:val="22"/>
                    </w:rPr>
                    <w:t xml:space="preserve">offers </w:t>
                  </w:r>
                  <w:r w:rsidRPr="006F6D90">
                    <w:rPr>
                      <w:rFonts w:ascii="Times New Roman" w:hAnsi="Times New Roman"/>
                      <w:sz w:val="22"/>
                      <w:szCs w:val="22"/>
                    </w:rPr>
                    <w:t>15-20 percent interest</w:t>
                  </w:r>
                  <w:r>
                    <w:rPr>
                      <w:rFonts w:ascii="Times New Roman" w:hAnsi="Times New Roman"/>
                      <w:sz w:val="22"/>
                      <w:szCs w:val="22"/>
                    </w:rPr>
                    <w:t xml:space="preserve"> rate</w:t>
                  </w:r>
                  <w:r w:rsidRPr="006F6D90">
                    <w:rPr>
                      <w:rFonts w:ascii="Times New Roman" w:hAnsi="Times New Roman"/>
                      <w:sz w:val="22"/>
                      <w:szCs w:val="22"/>
                    </w:rPr>
                    <w:t>.</w:t>
                  </w:r>
                </w:p>
                <w:p w14:paraId="09FC7708" w14:textId="51C4DE78" w:rsidR="006F6D90" w:rsidRPr="00EE516D" w:rsidRDefault="006F6D90"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The</w:t>
                  </w:r>
                  <w:r w:rsidRPr="006F6D90">
                    <w:rPr>
                      <w:rFonts w:ascii="Times New Roman" w:hAnsi="Times New Roman"/>
                      <w:sz w:val="22"/>
                      <w:szCs w:val="22"/>
                    </w:rPr>
                    <w:t xml:space="preserve"> return of the Top-20 index of the stock exchange</w:t>
                  </w:r>
                  <w:r>
                    <w:rPr>
                      <w:rFonts w:ascii="Times New Roman" w:hAnsi="Times New Roman"/>
                      <w:sz w:val="22"/>
                      <w:szCs w:val="22"/>
                    </w:rPr>
                    <w:t xml:space="preserve"> </w:t>
                  </w:r>
                  <w:r w:rsidRPr="006F6D90">
                    <w:rPr>
                      <w:rFonts w:ascii="Times New Roman" w:hAnsi="Times New Roman"/>
                      <w:sz w:val="22"/>
                      <w:szCs w:val="22"/>
                    </w:rPr>
                    <w:t>was 36,485 at the beginning of 2023, it reached 40,836 units on February 28, and it was 37,134 units as of November 10. Stock market investors had the highest return of 12 percent and currently have a return of 1.8 percent.</w:t>
                  </w:r>
                </w:p>
                <w:p w14:paraId="41A53F83" w14:textId="14EC1F21" w:rsidR="006F6D90" w:rsidRPr="00EE516D" w:rsidRDefault="006F6D90"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F6D90">
                    <w:rPr>
                      <w:rFonts w:ascii="Times New Roman" w:hAnsi="Times New Roman"/>
                      <w:sz w:val="22"/>
                      <w:szCs w:val="22"/>
                    </w:rPr>
                    <w:t xml:space="preserve">Therefore, the central bank's policy interest rate is consistently higher than the yield of the TOP-20 </w:t>
                  </w:r>
                  <w:proofErr w:type="gramStart"/>
                  <w:r w:rsidRPr="006F6D90">
                    <w:rPr>
                      <w:rFonts w:ascii="Times New Roman" w:hAnsi="Times New Roman"/>
                      <w:sz w:val="22"/>
                      <w:szCs w:val="22"/>
                    </w:rPr>
                    <w:t>index</w:t>
                  </w:r>
                  <w:proofErr w:type="gramEnd"/>
                  <w:r w:rsidRPr="006F6D90">
                    <w:rPr>
                      <w:rFonts w:ascii="Times New Roman" w:hAnsi="Times New Roman"/>
                      <w:sz w:val="22"/>
                      <w:szCs w:val="22"/>
                    </w:rPr>
                    <w:t xml:space="preserve"> of the stock market, which means that investors are </w:t>
                  </w:r>
                  <w:r>
                    <w:rPr>
                      <w:rFonts w:ascii="Times New Roman" w:hAnsi="Times New Roman"/>
                      <w:sz w:val="22"/>
                      <w:szCs w:val="22"/>
                    </w:rPr>
                    <w:t>highly likely to</w:t>
                  </w:r>
                  <w:r w:rsidRPr="006F6D90">
                    <w:rPr>
                      <w:rFonts w:ascii="Times New Roman" w:hAnsi="Times New Roman"/>
                      <w:sz w:val="22"/>
                      <w:szCs w:val="22"/>
                    </w:rPr>
                    <w:t xml:space="preserve"> </w:t>
                  </w:r>
                  <w:r>
                    <w:rPr>
                      <w:rFonts w:ascii="Times New Roman" w:hAnsi="Times New Roman"/>
                      <w:sz w:val="22"/>
                      <w:szCs w:val="22"/>
                    </w:rPr>
                    <w:t>put</w:t>
                  </w:r>
                  <w:r w:rsidRPr="006F6D90">
                    <w:rPr>
                      <w:rFonts w:ascii="Times New Roman" w:hAnsi="Times New Roman"/>
                      <w:sz w:val="22"/>
                      <w:szCs w:val="22"/>
                    </w:rPr>
                    <w:t xml:space="preserve"> their money </w:t>
                  </w:r>
                  <w:r>
                    <w:rPr>
                      <w:rFonts w:ascii="Times New Roman" w:hAnsi="Times New Roman"/>
                      <w:sz w:val="22"/>
                      <w:szCs w:val="22"/>
                    </w:rPr>
                    <w:t>into</w:t>
                  </w:r>
                  <w:r w:rsidRPr="006F6D90">
                    <w:rPr>
                      <w:rFonts w:ascii="Times New Roman" w:hAnsi="Times New Roman"/>
                      <w:sz w:val="22"/>
                      <w:szCs w:val="22"/>
                    </w:rPr>
                    <w:t xml:space="preserve"> more reliable financial instruments such as bank </w:t>
                  </w:r>
                  <w:r>
                    <w:rPr>
                      <w:rFonts w:ascii="Times New Roman" w:hAnsi="Times New Roman"/>
                      <w:sz w:val="22"/>
                      <w:szCs w:val="22"/>
                    </w:rPr>
                    <w:t>savings</w:t>
                  </w:r>
                  <w:r w:rsidRPr="006F6D90">
                    <w:rPr>
                      <w:rFonts w:ascii="Times New Roman" w:hAnsi="Times New Roman"/>
                      <w:sz w:val="22"/>
                      <w:szCs w:val="22"/>
                    </w:rPr>
                    <w:t xml:space="preserve"> and bonds.</w:t>
                  </w:r>
                </w:p>
              </w:tc>
              <w:tc>
                <w:tcPr>
                  <w:tcW w:w="1309" w:type="pct"/>
                </w:tcPr>
                <w:p w14:paraId="7B8252D0" w14:textId="2E147DC1" w:rsidR="00A66D4E" w:rsidRPr="00EE516D" w:rsidRDefault="006F6D90"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F6D90">
                    <w:rPr>
                      <w:rFonts w:ascii="Times New Roman" w:hAnsi="Times New Roman"/>
                      <w:sz w:val="22"/>
                      <w:szCs w:val="22"/>
                    </w:rPr>
                    <w:t xml:space="preserve">Promote the potential of the securities market and focus on </w:t>
                  </w:r>
                  <w:r>
                    <w:rPr>
                      <w:rFonts w:ascii="Times New Roman" w:hAnsi="Times New Roman"/>
                      <w:sz w:val="22"/>
                      <w:szCs w:val="22"/>
                    </w:rPr>
                    <w:t>increasing</w:t>
                  </w:r>
                  <w:r w:rsidRPr="006F6D90">
                    <w:rPr>
                      <w:rFonts w:ascii="Times New Roman" w:hAnsi="Times New Roman"/>
                      <w:sz w:val="22"/>
                      <w:szCs w:val="22"/>
                    </w:rPr>
                    <w:t xml:space="preserve"> </w:t>
                  </w:r>
                  <w:r>
                    <w:rPr>
                      <w:rFonts w:ascii="Times New Roman" w:hAnsi="Times New Roman"/>
                      <w:sz w:val="22"/>
                      <w:szCs w:val="22"/>
                    </w:rPr>
                    <w:t>yield</w:t>
                  </w:r>
                </w:p>
              </w:tc>
            </w:tr>
            <w:tr w:rsidR="00A66D4E" w:rsidRPr="00EE516D" w14:paraId="3C8BF68C" w14:textId="77777777" w:rsidTr="0072699C">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59" w:type="pct"/>
                </w:tcPr>
                <w:p w14:paraId="6457CA43" w14:textId="4E92A82E" w:rsidR="00A66D4E" w:rsidRPr="00EE516D" w:rsidRDefault="00AE1756" w:rsidP="00EE516D">
                  <w:pPr>
                    <w:pStyle w:val="a"/>
                    <w:spacing w:after="0"/>
                    <w:rPr>
                      <w:rFonts w:ascii="Times New Roman" w:hAnsi="Times New Roman"/>
                      <w:sz w:val="22"/>
                      <w:szCs w:val="22"/>
                    </w:rPr>
                  </w:pPr>
                  <w:r>
                    <w:rPr>
                      <w:rFonts w:ascii="Times New Roman" w:hAnsi="Times New Roman"/>
                      <w:sz w:val="22"/>
                      <w:szCs w:val="22"/>
                    </w:rPr>
                    <w:t>Operational risk</w:t>
                  </w:r>
                </w:p>
              </w:tc>
              <w:tc>
                <w:tcPr>
                  <w:tcW w:w="2732" w:type="pct"/>
                </w:tcPr>
                <w:p w14:paraId="16F75431" w14:textId="32315D25" w:rsidR="00F73CBA" w:rsidRPr="00EE516D" w:rsidRDefault="009740C5" w:rsidP="00EE516D">
                  <w:pPr>
                    <w:pStyle w:val="a"/>
                    <w:spacing w:after="0"/>
                    <w:cnfStyle w:val="000000010000" w:firstRow="0" w:lastRow="0" w:firstColumn="0" w:lastColumn="0" w:oddVBand="0" w:evenVBand="0" w:oddHBand="0" w:evenHBand="1" w:firstRowFirstColumn="0" w:firstRowLastColumn="0" w:lastRowFirstColumn="0" w:lastRowLastColumn="0"/>
                    <w:rPr>
                      <w:rFonts w:ascii="Times New Roman" w:eastAsia="Cambria" w:hAnsi="Times New Roman"/>
                      <w:sz w:val="22"/>
                      <w:szCs w:val="22"/>
                    </w:rPr>
                  </w:pPr>
                  <w:r w:rsidRPr="009740C5">
                    <w:rPr>
                      <w:rFonts w:ascii="Times New Roman" w:eastAsia="Cambria" w:hAnsi="Times New Roman"/>
                      <w:sz w:val="22"/>
                      <w:szCs w:val="22"/>
                    </w:rPr>
                    <w:t xml:space="preserve">The reports and records for the main departments of the MSE—including Trade, Regulation, Listing, Membership, and Mining—are prepared manually and stored on individual workstations. This process is time-consuming, negatively impacts efficiency, and causes delays, leading to process and reputational risks for the organization. </w:t>
                  </w:r>
                </w:p>
              </w:tc>
              <w:tc>
                <w:tcPr>
                  <w:tcW w:w="1309" w:type="pct"/>
                </w:tcPr>
                <w:p w14:paraId="2965AC33" w14:textId="1FBF24B3" w:rsidR="00F73CBA" w:rsidRPr="00EE516D" w:rsidRDefault="00F73CBA" w:rsidP="00EE516D">
                  <w:pPr>
                    <w:pStyle w:val="a"/>
                    <w:spacing w:after="0"/>
                    <w:cnfStyle w:val="000000010000" w:firstRow="0" w:lastRow="0" w:firstColumn="0" w:lastColumn="0" w:oddVBand="0" w:evenVBand="0" w:oddHBand="0" w:evenHBand="1" w:firstRowFirstColumn="0" w:firstRowLastColumn="0" w:lastRowFirstColumn="0" w:lastRowLastColumn="0"/>
                    <w:rPr>
                      <w:rFonts w:ascii="Times New Roman" w:eastAsia="Cambria" w:hAnsi="Times New Roman"/>
                      <w:sz w:val="22"/>
                      <w:szCs w:val="22"/>
                    </w:rPr>
                  </w:pPr>
                  <w:r>
                    <w:rPr>
                      <w:rFonts w:ascii="Times New Roman" w:eastAsia="Cambria" w:hAnsi="Times New Roman"/>
                      <w:sz w:val="22"/>
                      <w:szCs w:val="22"/>
                    </w:rPr>
                    <w:t>Develop policies</w:t>
                  </w:r>
                  <w:r w:rsidRPr="00F73CBA">
                    <w:rPr>
                      <w:rFonts w:ascii="Times New Roman" w:eastAsia="Cambria" w:hAnsi="Times New Roman"/>
                      <w:sz w:val="22"/>
                      <w:szCs w:val="22"/>
                    </w:rPr>
                    <w:t xml:space="preserve"> </w:t>
                  </w:r>
                  <w:r>
                    <w:rPr>
                      <w:rFonts w:ascii="Times New Roman" w:eastAsia="Cambria" w:hAnsi="Times New Roman"/>
                      <w:sz w:val="22"/>
                      <w:szCs w:val="22"/>
                    </w:rPr>
                    <w:t>in</w:t>
                  </w:r>
                  <w:r w:rsidRPr="00F73CBA">
                    <w:rPr>
                      <w:rFonts w:ascii="Times New Roman" w:eastAsia="Cambria" w:hAnsi="Times New Roman"/>
                      <w:sz w:val="22"/>
                      <w:szCs w:val="22"/>
                    </w:rPr>
                    <w:t xml:space="preserve"> the areas of creating a unified internal database, developing software to facilitate manual operations, automating the creation of a unified database, and developing specialist personnel.</w:t>
                  </w:r>
                </w:p>
              </w:tc>
            </w:tr>
            <w:tr w:rsidR="00A66D4E" w:rsidRPr="00EE516D" w14:paraId="545471CC" w14:textId="77777777" w:rsidTr="0072699C">
              <w:trPr>
                <w:cnfStyle w:val="000000100000" w:firstRow="0" w:lastRow="0" w:firstColumn="0" w:lastColumn="0" w:oddVBand="0" w:evenVBand="0" w:oddHBand="1" w:evenHBand="0" w:firstRowFirstColumn="0" w:firstRowLastColumn="0" w:lastRowFirstColumn="0" w:lastRowLastColumn="0"/>
                <w:trHeight w:val="1795"/>
              </w:trPr>
              <w:tc>
                <w:tcPr>
                  <w:cnfStyle w:val="001000000000" w:firstRow="0" w:lastRow="0" w:firstColumn="1" w:lastColumn="0" w:oddVBand="0" w:evenVBand="0" w:oddHBand="0" w:evenHBand="0" w:firstRowFirstColumn="0" w:firstRowLastColumn="0" w:lastRowFirstColumn="0" w:lastRowLastColumn="0"/>
                  <w:tcW w:w="959" w:type="pct"/>
                </w:tcPr>
                <w:p w14:paraId="607E206A" w14:textId="37FD29C3" w:rsidR="00A66D4E" w:rsidRPr="00EE516D" w:rsidRDefault="009740C5" w:rsidP="00EE516D">
                  <w:pPr>
                    <w:pStyle w:val="a"/>
                    <w:spacing w:after="0"/>
                    <w:rPr>
                      <w:rFonts w:ascii="Times New Roman" w:hAnsi="Times New Roman"/>
                      <w:sz w:val="22"/>
                      <w:szCs w:val="22"/>
                    </w:rPr>
                  </w:pPr>
                  <w:r>
                    <w:rPr>
                      <w:rFonts w:ascii="Times New Roman" w:hAnsi="Times New Roman"/>
                      <w:sz w:val="22"/>
                      <w:szCs w:val="22"/>
                    </w:rPr>
                    <w:t>Financial risk</w:t>
                  </w:r>
                  <w:r w:rsidR="00A66D4E" w:rsidRPr="00EE516D">
                    <w:rPr>
                      <w:rFonts w:ascii="Times New Roman" w:hAnsi="Times New Roman"/>
                      <w:sz w:val="22"/>
                      <w:szCs w:val="22"/>
                    </w:rPr>
                    <w:t xml:space="preserve"> </w:t>
                  </w:r>
                </w:p>
              </w:tc>
              <w:tc>
                <w:tcPr>
                  <w:tcW w:w="2732" w:type="pct"/>
                </w:tcPr>
                <w:p w14:paraId="06EB4E82" w14:textId="62F3C1A8" w:rsidR="009740C5" w:rsidRPr="00EE516D" w:rsidRDefault="009740C5"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sz w:val="22"/>
                      <w:szCs w:val="22"/>
                    </w:rPr>
                  </w:pPr>
                  <w:r w:rsidRPr="009740C5">
                    <w:rPr>
                      <w:rFonts w:ascii="Times New Roman" w:eastAsia="Cambria" w:hAnsi="Times New Roman"/>
                      <w:sz w:val="22"/>
                      <w:szCs w:val="22"/>
                    </w:rPr>
                    <w:t>There are risks such as failure of the Software, failure to fully meet requirements, accidental input of wrong information due to manual deletion of data, and delayed workload in the financial department.</w:t>
                  </w:r>
                </w:p>
                <w:p w14:paraId="7BC89517" w14:textId="4354942E" w:rsidR="00391EAB" w:rsidRPr="00EE516D" w:rsidRDefault="00391EAB"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91EAB">
                    <w:rPr>
                      <w:rFonts w:ascii="Times New Roman" w:hAnsi="Times New Roman"/>
                      <w:sz w:val="22"/>
                      <w:szCs w:val="22"/>
                    </w:rPr>
                    <w:t xml:space="preserve">In addition, with the trading </w:t>
                  </w:r>
                  <w:r>
                    <w:rPr>
                      <w:rFonts w:ascii="Times New Roman" w:hAnsi="Times New Roman"/>
                      <w:sz w:val="22"/>
                      <w:szCs w:val="22"/>
                    </w:rPr>
                    <w:t>of</w:t>
                  </w:r>
                  <w:r w:rsidRPr="00391EAB">
                    <w:rPr>
                      <w:rFonts w:ascii="Times New Roman" w:hAnsi="Times New Roman"/>
                      <w:sz w:val="22"/>
                      <w:szCs w:val="22"/>
                    </w:rPr>
                    <w:t xml:space="preserve"> mining products, due to the lack of development and implementation of automated programs for </w:t>
                  </w:r>
                  <w:r>
                    <w:rPr>
                      <w:rFonts w:ascii="Times New Roman" w:hAnsi="Times New Roman"/>
                      <w:sz w:val="22"/>
                      <w:szCs w:val="22"/>
                    </w:rPr>
                    <w:t>operations</w:t>
                  </w:r>
                  <w:r w:rsidRPr="00391EAB">
                    <w:rPr>
                      <w:rFonts w:ascii="Times New Roman" w:hAnsi="Times New Roman"/>
                      <w:sz w:val="22"/>
                      <w:szCs w:val="22"/>
                    </w:rPr>
                    <w:t xml:space="preserve"> such as placing </w:t>
                  </w:r>
                  <w:r>
                    <w:rPr>
                      <w:rFonts w:ascii="Times New Roman" w:hAnsi="Times New Roman"/>
                      <w:sz w:val="22"/>
                      <w:szCs w:val="22"/>
                    </w:rPr>
                    <w:t>collateral</w:t>
                  </w:r>
                  <w:r w:rsidRPr="00391EAB">
                    <w:rPr>
                      <w:rFonts w:ascii="Times New Roman" w:hAnsi="Times New Roman"/>
                      <w:sz w:val="22"/>
                      <w:szCs w:val="22"/>
                    </w:rPr>
                    <w:t xml:space="preserve">, keeping records of </w:t>
                  </w:r>
                  <w:r>
                    <w:rPr>
                      <w:rFonts w:ascii="Times New Roman" w:hAnsi="Times New Roman"/>
                      <w:sz w:val="22"/>
                      <w:szCs w:val="22"/>
                    </w:rPr>
                    <w:t>collateral</w:t>
                  </w:r>
                  <w:r w:rsidRPr="00391EAB">
                    <w:rPr>
                      <w:rFonts w:ascii="Times New Roman" w:hAnsi="Times New Roman"/>
                      <w:sz w:val="22"/>
                      <w:szCs w:val="22"/>
                    </w:rPr>
                    <w:t>, returning, extending, and transferring according to contracts, high-value interstate cash flows of customers</w:t>
                  </w:r>
                  <w:r>
                    <w:rPr>
                      <w:rFonts w:ascii="Times New Roman" w:hAnsi="Times New Roman"/>
                      <w:sz w:val="22"/>
                      <w:szCs w:val="22"/>
                    </w:rPr>
                    <w:t xml:space="preserve"> are delayed</w:t>
                  </w:r>
                  <w:r w:rsidRPr="00391EAB">
                    <w:rPr>
                      <w:rFonts w:ascii="Times New Roman" w:hAnsi="Times New Roman"/>
                      <w:sz w:val="22"/>
                      <w:szCs w:val="22"/>
                    </w:rPr>
                    <w:t>, and</w:t>
                  </w:r>
                  <w:r>
                    <w:rPr>
                      <w:rFonts w:ascii="Times New Roman" w:hAnsi="Times New Roman"/>
                      <w:sz w:val="22"/>
                      <w:szCs w:val="22"/>
                    </w:rPr>
                    <w:t xml:space="preserve"> due to</w:t>
                  </w:r>
                  <w:r w:rsidRPr="00391EAB">
                    <w:rPr>
                      <w:rFonts w:ascii="Times New Roman" w:hAnsi="Times New Roman"/>
                      <w:sz w:val="22"/>
                      <w:szCs w:val="22"/>
                    </w:rPr>
                    <w:t xml:space="preserve"> manual control of payments and records</w:t>
                  </w:r>
                  <w:r>
                    <w:rPr>
                      <w:rFonts w:ascii="Times New Roman" w:hAnsi="Times New Roman"/>
                      <w:sz w:val="22"/>
                      <w:szCs w:val="22"/>
                    </w:rPr>
                    <w:t>,</w:t>
                  </w:r>
                  <w:r w:rsidRPr="00391EAB">
                    <w:rPr>
                      <w:rFonts w:ascii="Times New Roman" w:hAnsi="Times New Roman"/>
                      <w:sz w:val="22"/>
                      <w:szCs w:val="22"/>
                    </w:rPr>
                    <w:t xml:space="preserve"> </w:t>
                  </w:r>
                  <w:r>
                    <w:rPr>
                      <w:rFonts w:ascii="Times New Roman" w:hAnsi="Times New Roman"/>
                      <w:sz w:val="22"/>
                      <w:szCs w:val="22"/>
                    </w:rPr>
                    <w:t>t</w:t>
                  </w:r>
                  <w:r w:rsidRPr="00391EAB">
                    <w:rPr>
                      <w:rFonts w:ascii="Times New Roman" w:hAnsi="Times New Roman"/>
                      <w:sz w:val="22"/>
                      <w:szCs w:val="22"/>
                    </w:rPr>
                    <w:t xml:space="preserve">here is a high probability of financial risk such as </w:t>
                  </w:r>
                  <w:r>
                    <w:rPr>
                      <w:rFonts w:ascii="Times New Roman" w:hAnsi="Times New Roman"/>
                      <w:sz w:val="22"/>
                      <w:szCs w:val="22"/>
                    </w:rPr>
                    <w:t>wasting time</w:t>
                  </w:r>
                  <w:r w:rsidRPr="00391EAB">
                    <w:rPr>
                      <w:rFonts w:ascii="Times New Roman" w:hAnsi="Times New Roman"/>
                      <w:sz w:val="22"/>
                      <w:szCs w:val="22"/>
                    </w:rPr>
                    <w:t xml:space="preserve">, missing </w:t>
                  </w:r>
                  <w:r>
                    <w:rPr>
                      <w:rFonts w:ascii="Times New Roman" w:hAnsi="Times New Roman"/>
                      <w:sz w:val="22"/>
                      <w:szCs w:val="22"/>
                    </w:rPr>
                    <w:t>deadline</w:t>
                  </w:r>
                  <w:r w:rsidRPr="00391EAB">
                    <w:rPr>
                      <w:rFonts w:ascii="Times New Roman" w:hAnsi="Times New Roman"/>
                      <w:sz w:val="22"/>
                      <w:szCs w:val="22"/>
                    </w:rPr>
                    <w:t xml:space="preserve"> due to mechanical errors, and lack of human resources to upload </w:t>
                  </w:r>
                  <w:r>
                    <w:rPr>
                      <w:rFonts w:ascii="Times New Roman" w:hAnsi="Times New Roman"/>
                      <w:sz w:val="22"/>
                      <w:szCs w:val="22"/>
                    </w:rPr>
                    <w:t>collateral</w:t>
                  </w:r>
                  <w:r w:rsidRPr="00391EAB">
                    <w:rPr>
                      <w:rFonts w:ascii="Times New Roman" w:hAnsi="Times New Roman"/>
                      <w:sz w:val="22"/>
                      <w:szCs w:val="22"/>
                    </w:rPr>
                    <w:t xml:space="preserve"> information on time.</w:t>
                  </w:r>
                </w:p>
              </w:tc>
              <w:tc>
                <w:tcPr>
                  <w:tcW w:w="1309" w:type="pct"/>
                </w:tcPr>
                <w:p w14:paraId="590C9F9F" w14:textId="314B459A" w:rsidR="009740C5" w:rsidRPr="00EE516D" w:rsidRDefault="009740C5"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sz w:val="22"/>
                      <w:szCs w:val="22"/>
                    </w:rPr>
                  </w:pPr>
                  <w:r w:rsidRPr="009740C5">
                    <w:rPr>
                      <w:rFonts w:ascii="Times New Roman" w:eastAsia="Cambria" w:hAnsi="Times New Roman"/>
                      <w:sz w:val="22"/>
                      <w:szCs w:val="22"/>
                    </w:rPr>
                    <w:t>Develop</w:t>
                  </w:r>
                  <w:r>
                    <w:rPr>
                      <w:rFonts w:ascii="Times New Roman" w:eastAsia="Cambria" w:hAnsi="Times New Roman"/>
                      <w:sz w:val="22"/>
                      <w:szCs w:val="22"/>
                    </w:rPr>
                    <w:t>ing</w:t>
                  </w:r>
                  <w:r w:rsidRPr="009740C5">
                    <w:rPr>
                      <w:rFonts w:ascii="Times New Roman" w:eastAsia="Cambria" w:hAnsi="Times New Roman"/>
                      <w:sz w:val="22"/>
                      <w:szCs w:val="22"/>
                    </w:rPr>
                    <w:t xml:space="preserve"> software that reduces and automates the manual work of </w:t>
                  </w:r>
                  <w:proofErr w:type="gramStart"/>
                  <w:r w:rsidRPr="009740C5">
                    <w:rPr>
                      <w:rFonts w:ascii="Times New Roman" w:eastAsia="Cambria" w:hAnsi="Times New Roman"/>
                      <w:sz w:val="22"/>
                      <w:szCs w:val="22"/>
                    </w:rPr>
                    <w:t>the  financial</w:t>
                  </w:r>
                  <w:proofErr w:type="gramEnd"/>
                  <w:r w:rsidRPr="009740C5">
                    <w:rPr>
                      <w:rFonts w:ascii="Times New Roman" w:eastAsia="Cambria" w:hAnsi="Times New Roman"/>
                      <w:sz w:val="22"/>
                      <w:szCs w:val="22"/>
                    </w:rPr>
                    <w:t xml:space="preserve"> records and increases the coordination of departments</w:t>
                  </w:r>
                </w:p>
              </w:tc>
            </w:tr>
            <w:tr w:rsidR="00A66D4E" w:rsidRPr="00EE516D" w14:paraId="2CDFA854" w14:textId="77777777" w:rsidTr="0072699C">
              <w:trPr>
                <w:cnfStyle w:val="000000010000" w:firstRow="0" w:lastRow="0" w:firstColumn="0" w:lastColumn="0" w:oddVBand="0" w:evenVBand="0" w:oddHBand="0" w:evenHBand="1"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959" w:type="pct"/>
                </w:tcPr>
                <w:p w14:paraId="469E938C" w14:textId="02B140DF" w:rsidR="00A66D4E" w:rsidRPr="00EE516D" w:rsidRDefault="006A5462" w:rsidP="0072699C">
                  <w:pPr>
                    <w:pStyle w:val="a"/>
                    <w:spacing w:after="0"/>
                    <w:jc w:val="left"/>
                    <w:rPr>
                      <w:rFonts w:ascii="Times New Roman" w:hAnsi="Times New Roman"/>
                      <w:sz w:val="22"/>
                      <w:szCs w:val="22"/>
                    </w:rPr>
                  </w:pPr>
                  <w:r>
                    <w:rPr>
                      <w:rFonts w:ascii="Times New Roman" w:hAnsi="Times New Roman"/>
                      <w:sz w:val="22"/>
                      <w:szCs w:val="22"/>
                    </w:rPr>
                    <w:lastRenderedPageBreak/>
                    <w:t>Information security and technological risk</w:t>
                  </w:r>
                </w:p>
              </w:tc>
              <w:tc>
                <w:tcPr>
                  <w:tcW w:w="2732" w:type="pct"/>
                </w:tcPr>
                <w:p w14:paraId="4C8F460A" w14:textId="60E6290B" w:rsidR="00D573E2" w:rsidRPr="00EE516D" w:rsidRDefault="00D573E2" w:rsidP="00EE516D">
                  <w:pPr>
                    <w:pStyle w:val="a"/>
                    <w:spacing w:after="0"/>
                    <w:cnfStyle w:val="000000010000" w:firstRow="0" w:lastRow="0" w:firstColumn="0" w:lastColumn="0" w:oddVBand="0" w:evenVBand="0" w:oddHBand="0" w:evenHBand="1" w:firstRowFirstColumn="0" w:firstRowLastColumn="0" w:lastRowFirstColumn="0" w:lastRowLastColumn="0"/>
                    <w:rPr>
                      <w:rFonts w:ascii="Times New Roman" w:hAnsi="Times New Roman"/>
                      <w:sz w:val="22"/>
                      <w:szCs w:val="22"/>
                    </w:rPr>
                  </w:pPr>
                  <w:r w:rsidRPr="00D573E2">
                    <w:rPr>
                      <w:rFonts w:ascii="Times New Roman" w:hAnsi="Times New Roman"/>
                      <w:sz w:val="22"/>
                      <w:szCs w:val="22"/>
                    </w:rPr>
                    <w:t xml:space="preserve">The server room is not fully equipped, </w:t>
                  </w:r>
                  <w:r>
                    <w:rPr>
                      <w:rFonts w:ascii="Times New Roman" w:hAnsi="Times New Roman"/>
                      <w:sz w:val="22"/>
                      <w:szCs w:val="22"/>
                    </w:rPr>
                    <w:t xml:space="preserve">and </w:t>
                  </w:r>
                  <w:r w:rsidRPr="00D573E2">
                    <w:rPr>
                      <w:rFonts w:ascii="Times New Roman" w:hAnsi="Times New Roman"/>
                      <w:sz w:val="22"/>
                      <w:szCs w:val="22"/>
                    </w:rPr>
                    <w:t xml:space="preserve">the simultaneous access of remote customers at the start of secondary market trading may cause overloading of the server, network outages, </w:t>
                  </w:r>
                  <w:r>
                    <w:rPr>
                      <w:rFonts w:ascii="Times New Roman" w:hAnsi="Times New Roman"/>
                      <w:sz w:val="22"/>
                      <w:szCs w:val="22"/>
                    </w:rPr>
                    <w:t>lack of capacity</w:t>
                  </w:r>
                  <w:r w:rsidRPr="00D573E2">
                    <w:rPr>
                      <w:rFonts w:ascii="Times New Roman" w:hAnsi="Times New Roman"/>
                      <w:sz w:val="22"/>
                      <w:szCs w:val="22"/>
                    </w:rPr>
                    <w:t xml:space="preserve"> of the trading system server, shortage of backup equipment, damage to network cards and power blocks, and, running out of fuel, or server hardware failure may result in system crashes or shutdowns during </w:t>
                  </w:r>
                  <w:r w:rsidR="00E30896">
                    <w:rPr>
                      <w:rFonts w:ascii="Times New Roman" w:hAnsi="Times New Roman"/>
                      <w:sz w:val="22"/>
                      <w:szCs w:val="22"/>
                    </w:rPr>
                    <w:t>primary market</w:t>
                  </w:r>
                  <w:r w:rsidRPr="00D573E2">
                    <w:rPr>
                      <w:rFonts w:ascii="Times New Roman" w:hAnsi="Times New Roman"/>
                      <w:sz w:val="22"/>
                      <w:szCs w:val="22"/>
                    </w:rPr>
                    <w:t xml:space="preserve"> trading, </w:t>
                  </w:r>
                  <w:r w:rsidR="00E30896">
                    <w:rPr>
                      <w:rFonts w:ascii="Times New Roman" w:hAnsi="Times New Roman"/>
                      <w:sz w:val="22"/>
                      <w:szCs w:val="22"/>
                    </w:rPr>
                    <w:t>and</w:t>
                  </w:r>
                  <w:r w:rsidRPr="00D573E2">
                    <w:rPr>
                      <w:rFonts w:ascii="Times New Roman" w:hAnsi="Times New Roman"/>
                      <w:sz w:val="22"/>
                      <w:szCs w:val="22"/>
                    </w:rPr>
                    <w:t xml:space="preserve"> website, operating system errors, and inability to receive necessary support.</w:t>
                  </w:r>
                </w:p>
              </w:tc>
              <w:tc>
                <w:tcPr>
                  <w:tcW w:w="1309" w:type="pct"/>
                </w:tcPr>
                <w:p w14:paraId="2F7EC1DB" w14:textId="2B380A96" w:rsidR="007B1D5F" w:rsidRPr="00EE516D" w:rsidRDefault="007B1D5F" w:rsidP="00EE516D">
                  <w:pPr>
                    <w:pStyle w:val="a"/>
                    <w:spacing w:after="0"/>
                    <w:cnfStyle w:val="000000010000" w:firstRow="0" w:lastRow="0" w:firstColumn="0" w:lastColumn="0" w:oddVBand="0" w:evenVBand="0" w:oddHBand="0" w:evenHBand="1" w:firstRowFirstColumn="0" w:firstRowLastColumn="0" w:lastRowFirstColumn="0" w:lastRowLastColumn="0"/>
                    <w:rPr>
                      <w:rFonts w:ascii="Times New Roman" w:eastAsia="Cambria" w:hAnsi="Times New Roman"/>
                      <w:sz w:val="22"/>
                      <w:szCs w:val="22"/>
                    </w:rPr>
                  </w:pPr>
                  <w:r w:rsidRPr="007B1D5F">
                    <w:rPr>
                      <w:rFonts w:ascii="Times New Roman" w:eastAsia="Cambria" w:hAnsi="Times New Roman"/>
                      <w:sz w:val="22"/>
                      <w:szCs w:val="22"/>
                    </w:rPr>
                    <w:t xml:space="preserve">Prepare a special room that meets the requirements for the security of the organization's server room and the working environment of the equipment used for the main operations. Carry out necessary research to update the </w:t>
                  </w:r>
                  <w:proofErr w:type="gramStart"/>
                  <w:r w:rsidRPr="007B1D5F">
                    <w:rPr>
                      <w:rFonts w:ascii="Times New Roman" w:eastAsia="Cambria" w:hAnsi="Times New Roman"/>
                      <w:sz w:val="22"/>
                      <w:szCs w:val="22"/>
                    </w:rPr>
                    <w:t xml:space="preserve">software, </w:t>
                  </w:r>
                  <w:r>
                    <w:rPr>
                      <w:rFonts w:ascii="Times New Roman" w:eastAsia="Cambria" w:hAnsi="Times New Roman"/>
                      <w:sz w:val="22"/>
                      <w:szCs w:val="22"/>
                    </w:rPr>
                    <w:t>and</w:t>
                  </w:r>
                  <w:proofErr w:type="gramEnd"/>
                  <w:r>
                    <w:rPr>
                      <w:rFonts w:ascii="Times New Roman" w:eastAsia="Cambria" w:hAnsi="Times New Roman"/>
                      <w:sz w:val="22"/>
                      <w:szCs w:val="22"/>
                    </w:rPr>
                    <w:t xml:space="preserve"> </w:t>
                  </w:r>
                  <w:r w:rsidRPr="007B1D5F">
                    <w:rPr>
                      <w:rFonts w:ascii="Times New Roman" w:eastAsia="Cambria" w:hAnsi="Times New Roman"/>
                      <w:sz w:val="22"/>
                      <w:szCs w:val="22"/>
                    </w:rPr>
                    <w:t>increase battery capacity and load capacity.</w:t>
                  </w:r>
                </w:p>
              </w:tc>
            </w:tr>
            <w:tr w:rsidR="00A66D4E" w:rsidRPr="00EE516D" w14:paraId="500F878D" w14:textId="77777777" w:rsidTr="0072699C">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959" w:type="pct"/>
                </w:tcPr>
                <w:p w14:paraId="1B497A15" w14:textId="70B899D4" w:rsidR="00A66D4E" w:rsidRPr="00EE516D" w:rsidRDefault="0072699C" w:rsidP="00EE516D">
                  <w:pPr>
                    <w:pStyle w:val="a"/>
                    <w:spacing w:after="0"/>
                    <w:rPr>
                      <w:rFonts w:ascii="Times New Roman" w:hAnsi="Times New Roman"/>
                      <w:sz w:val="22"/>
                      <w:szCs w:val="22"/>
                    </w:rPr>
                  </w:pPr>
                  <w:r w:rsidRPr="0072699C">
                    <w:rPr>
                      <w:rFonts w:ascii="Times New Roman" w:hAnsi="Times New Roman"/>
                      <w:sz w:val="22"/>
                      <w:szCs w:val="22"/>
                    </w:rPr>
                    <w:t>Legal risk</w:t>
                  </w:r>
                </w:p>
              </w:tc>
              <w:tc>
                <w:tcPr>
                  <w:tcW w:w="2732" w:type="pct"/>
                </w:tcPr>
                <w:p w14:paraId="4EE37832" w14:textId="60E58EB0" w:rsidR="0072699C" w:rsidRPr="00EE516D" w:rsidRDefault="0072699C"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sz w:val="22"/>
                      <w:szCs w:val="22"/>
                    </w:rPr>
                  </w:pPr>
                  <w:r w:rsidRPr="0072699C">
                    <w:rPr>
                      <w:rFonts w:ascii="Times New Roman" w:eastAsia="Cambria" w:hAnsi="Times New Roman"/>
                      <w:sz w:val="22"/>
                      <w:szCs w:val="22"/>
                    </w:rPr>
                    <w:t>There is a risk that the agreement does not reflect the parties' proposals, delays, lack of control, incomplete performance, loss or lack of documents, and violations of the general procedures of the organization's archives and record keeping.</w:t>
                  </w:r>
                </w:p>
                <w:p w14:paraId="7B97BECE" w14:textId="7211C108" w:rsidR="0072699C" w:rsidRPr="00EE516D" w:rsidRDefault="0072699C"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sz w:val="22"/>
                      <w:szCs w:val="22"/>
                    </w:rPr>
                  </w:pPr>
                  <w:r>
                    <w:rPr>
                      <w:rFonts w:ascii="Times New Roman" w:eastAsia="Cambria" w:hAnsi="Times New Roman"/>
                      <w:sz w:val="22"/>
                      <w:szCs w:val="22"/>
                    </w:rPr>
                    <w:t>Furthermore</w:t>
                  </w:r>
                  <w:r w:rsidRPr="0072699C">
                    <w:rPr>
                      <w:rFonts w:ascii="Times New Roman" w:eastAsia="Cambria" w:hAnsi="Times New Roman"/>
                      <w:sz w:val="22"/>
                      <w:szCs w:val="22"/>
                    </w:rPr>
                    <w:t xml:space="preserve">, problems such as information loss, destruction of official documents, and information leakage due to </w:t>
                  </w:r>
                  <w:r>
                    <w:rPr>
                      <w:rFonts w:ascii="Times New Roman" w:eastAsia="Cambria" w:hAnsi="Times New Roman"/>
                      <w:sz w:val="22"/>
                      <w:szCs w:val="22"/>
                    </w:rPr>
                    <w:t xml:space="preserve">a </w:t>
                  </w:r>
                  <w:r w:rsidRPr="0072699C">
                    <w:rPr>
                      <w:rFonts w:ascii="Times New Roman" w:eastAsia="Cambria" w:hAnsi="Times New Roman"/>
                      <w:sz w:val="22"/>
                      <w:szCs w:val="22"/>
                    </w:rPr>
                    <w:t>lack of document storage cabinets, safes, and locks.</w:t>
                  </w:r>
                </w:p>
              </w:tc>
              <w:tc>
                <w:tcPr>
                  <w:tcW w:w="1309" w:type="pct"/>
                </w:tcPr>
                <w:p w14:paraId="077FE20B" w14:textId="13FBF82E" w:rsidR="0072699C" w:rsidRPr="00496339" w:rsidRDefault="0072699C" w:rsidP="00EE516D">
                  <w:pPr>
                    <w:pStyle w:val="a"/>
                    <w:spacing w:after="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sz w:val="22"/>
                      <w:szCs w:val="22"/>
                    </w:rPr>
                  </w:pPr>
                  <w:r w:rsidRPr="00496339">
                    <w:rPr>
                      <w:rFonts w:ascii="Times New Roman" w:eastAsia="Cambria" w:hAnsi="Times New Roman"/>
                      <w:sz w:val="22"/>
                      <w:szCs w:val="22"/>
                    </w:rPr>
                    <w:t xml:space="preserve">Incorporating the opinions of the management and experts of the responsible departments </w:t>
                  </w:r>
                  <w:r w:rsidR="00496339" w:rsidRPr="00496339">
                    <w:rPr>
                      <w:rFonts w:ascii="Times New Roman" w:eastAsia="Cambria" w:hAnsi="Times New Roman"/>
                      <w:sz w:val="22"/>
                      <w:szCs w:val="22"/>
                    </w:rPr>
                    <w:t>on the operation</w:t>
                  </w:r>
                  <w:r w:rsidRPr="00496339">
                    <w:rPr>
                      <w:rFonts w:ascii="Times New Roman" w:eastAsia="Cambria" w:hAnsi="Times New Roman"/>
                      <w:sz w:val="22"/>
                      <w:szCs w:val="22"/>
                    </w:rPr>
                    <w:t>, reviewing it with the finance and legal departments, storing the documents in a sealed place, and transferring them to the organization's archive every year.</w:t>
                  </w:r>
                </w:p>
              </w:tc>
            </w:tr>
            <w:tr w:rsidR="0072699C" w:rsidRPr="00EE516D" w14:paraId="520A18A9" w14:textId="77777777" w:rsidTr="0072699C">
              <w:trPr>
                <w:cnfStyle w:val="000000010000" w:firstRow="0" w:lastRow="0" w:firstColumn="0" w:lastColumn="0" w:oddVBand="0" w:evenVBand="0" w:oddHBand="0" w:evenHBand="1"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959" w:type="pct"/>
                </w:tcPr>
                <w:p w14:paraId="7ED017F7" w14:textId="7B94C209" w:rsidR="0072699C" w:rsidRPr="00EE516D" w:rsidRDefault="0072699C" w:rsidP="0072699C">
                  <w:pPr>
                    <w:pStyle w:val="a"/>
                    <w:spacing w:after="0"/>
                    <w:rPr>
                      <w:rFonts w:ascii="Times New Roman" w:hAnsi="Times New Roman"/>
                      <w:sz w:val="22"/>
                      <w:szCs w:val="22"/>
                    </w:rPr>
                  </w:pPr>
                  <w:r w:rsidRPr="0072699C">
                    <w:rPr>
                      <w:rFonts w:ascii="Times New Roman" w:hAnsi="Times New Roman"/>
                      <w:sz w:val="22"/>
                      <w:szCs w:val="22"/>
                    </w:rPr>
                    <w:t>Regulatory risk</w:t>
                  </w:r>
                </w:p>
              </w:tc>
              <w:tc>
                <w:tcPr>
                  <w:tcW w:w="2732" w:type="pct"/>
                </w:tcPr>
                <w:p w14:paraId="7D3B8797" w14:textId="6894B9C1" w:rsidR="0072699C" w:rsidRPr="00EE516D" w:rsidRDefault="0072699C" w:rsidP="0072699C">
                  <w:pPr>
                    <w:pStyle w:val="a"/>
                    <w:spacing w:after="0"/>
                    <w:cnfStyle w:val="000000010000" w:firstRow="0" w:lastRow="0" w:firstColumn="0" w:lastColumn="0" w:oddVBand="0" w:evenVBand="0" w:oddHBand="0" w:evenHBand="1" w:firstRowFirstColumn="0" w:firstRowLastColumn="0" w:lastRowFirstColumn="0" w:lastRowLastColumn="0"/>
                    <w:rPr>
                      <w:rFonts w:ascii="Times New Roman" w:eastAsia="Cambria" w:hAnsi="Times New Roman"/>
                      <w:sz w:val="22"/>
                      <w:szCs w:val="22"/>
                    </w:rPr>
                  </w:pPr>
                  <w:r w:rsidRPr="0072699C">
                    <w:rPr>
                      <w:rFonts w:ascii="Times New Roman" w:eastAsia="Cambria" w:hAnsi="Times New Roman"/>
                      <w:sz w:val="22"/>
                      <w:szCs w:val="22"/>
                    </w:rPr>
                    <w:t>The "Prospect" program is stored in a decommissioned computer, the data of transactions of securities traded on the Mongolian Stock Exchange prior to 2012, which may cause the computer to stop working, resulting in the deletion of all transaction information and monitoring data.</w:t>
                  </w:r>
                </w:p>
                <w:p w14:paraId="24FD6AB2" w14:textId="44B88522" w:rsidR="0072699C" w:rsidRPr="0072699C" w:rsidRDefault="0072699C" w:rsidP="0072699C">
                  <w:pPr>
                    <w:pStyle w:val="a"/>
                    <w:spacing w:after="0"/>
                    <w:cnfStyle w:val="000000010000" w:firstRow="0" w:lastRow="0" w:firstColumn="0" w:lastColumn="0" w:oddVBand="0" w:evenVBand="0" w:oddHBand="0" w:evenHBand="1" w:firstRowFirstColumn="0" w:firstRowLastColumn="0" w:lastRowFirstColumn="0" w:lastRowLastColumn="0"/>
                    <w:rPr>
                      <w:rFonts w:ascii="Times New Roman" w:hAnsi="Times New Roman"/>
                      <w:sz w:val="22"/>
                      <w:szCs w:val="22"/>
                      <w:lang w:val="en-US"/>
                    </w:rPr>
                  </w:pPr>
                  <w:r w:rsidRPr="0072699C">
                    <w:rPr>
                      <w:rFonts w:ascii="Times New Roman" w:hAnsi="Times New Roman"/>
                      <w:sz w:val="22"/>
                      <w:szCs w:val="22"/>
                      <w:lang w:val="en-US"/>
                    </w:rPr>
                    <w:t xml:space="preserve">Due to the fact that the detailed </w:t>
                  </w:r>
                  <w:r>
                    <w:rPr>
                      <w:rFonts w:ascii="Times New Roman" w:hAnsi="Times New Roman"/>
                      <w:sz w:val="22"/>
                      <w:szCs w:val="22"/>
                      <w:lang w:val="en-US"/>
                    </w:rPr>
                    <w:t>surveillance</w:t>
                  </w:r>
                  <w:r w:rsidRPr="0072699C">
                    <w:rPr>
                      <w:rFonts w:ascii="Times New Roman" w:hAnsi="Times New Roman"/>
                      <w:sz w:val="22"/>
                      <w:szCs w:val="22"/>
                      <w:lang w:val="en-US"/>
                    </w:rPr>
                    <w:t xml:space="preserve"> report folder is in paper form, it may get damaged, lost, destroyed, or </w:t>
                  </w:r>
                  <w:proofErr w:type="gramStart"/>
                  <w:r>
                    <w:rPr>
                      <w:rFonts w:ascii="Times New Roman" w:hAnsi="Times New Roman"/>
                      <w:sz w:val="22"/>
                      <w:szCs w:val="22"/>
                      <w:lang w:val="en-US"/>
                    </w:rPr>
                    <w:t>lose</w:t>
                  </w:r>
                  <w:proofErr w:type="gramEnd"/>
                  <w:r w:rsidRPr="0072699C">
                    <w:rPr>
                      <w:rFonts w:ascii="Times New Roman" w:hAnsi="Times New Roman"/>
                      <w:sz w:val="22"/>
                      <w:szCs w:val="22"/>
                      <w:lang w:val="en-US"/>
                    </w:rPr>
                    <w:t xml:space="preserve"> confidential information to a third party.</w:t>
                  </w:r>
                </w:p>
                <w:p w14:paraId="286B9A3F" w14:textId="28F2E1EB" w:rsidR="0072699C" w:rsidRPr="00EE516D" w:rsidRDefault="0072699C" w:rsidP="0072699C">
                  <w:pPr>
                    <w:pStyle w:val="a"/>
                    <w:spacing w:after="0"/>
                    <w:cnfStyle w:val="000000010000" w:firstRow="0" w:lastRow="0" w:firstColumn="0" w:lastColumn="0" w:oddVBand="0" w:evenVBand="0" w:oddHBand="0" w:evenHBand="1" w:firstRowFirstColumn="0" w:firstRowLastColumn="0" w:lastRowFirstColumn="0" w:lastRowLastColumn="0"/>
                    <w:rPr>
                      <w:rFonts w:ascii="Times New Roman" w:hAnsi="Times New Roman"/>
                      <w:sz w:val="22"/>
                      <w:szCs w:val="22"/>
                    </w:rPr>
                  </w:pPr>
                  <w:r w:rsidRPr="0072699C">
                    <w:rPr>
                      <w:rFonts w:ascii="Times New Roman" w:hAnsi="Times New Roman"/>
                      <w:sz w:val="22"/>
                      <w:szCs w:val="22"/>
                    </w:rPr>
                    <w:t>There is a risk that some customer information may not be fully displayed when trading is monitored on the system, making it impossible to report market abuse.</w:t>
                  </w:r>
                </w:p>
              </w:tc>
              <w:tc>
                <w:tcPr>
                  <w:tcW w:w="1309" w:type="pct"/>
                </w:tcPr>
                <w:p w14:paraId="43092CD7" w14:textId="1B03E798" w:rsidR="0072699C" w:rsidRPr="00EE516D" w:rsidRDefault="0072699C" w:rsidP="0072699C">
                  <w:pPr>
                    <w:pStyle w:val="a"/>
                    <w:spacing w:after="0"/>
                    <w:cnfStyle w:val="000000010000" w:firstRow="0" w:lastRow="0" w:firstColumn="0" w:lastColumn="0" w:oddVBand="0" w:evenVBand="0" w:oddHBand="0" w:evenHBand="1" w:firstRowFirstColumn="0" w:firstRowLastColumn="0" w:lastRowFirstColumn="0" w:lastRowLastColumn="0"/>
                    <w:rPr>
                      <w:rFonts w:ascii="Times New Roman" w:eastAsia="Cambria" w:hAnsi="Times New Roman"/>
                      <w:sz w:val="22"/>
                      <w:szCs w:val="22"/>
                    </w:rPr>
                  </w:pPr>
                  <w:r>
                    <w:rPr>
                      <w:rFonts w:ascii="Times New Roman" w:eastAsia="Cambria" w:hAnsi="Times New Roman"/>
                      <w:sz w:val="22"/>
                      <w:szCs w:val="22"/>
                    </w:rPr>
                    <w:t>Focus on</w:t>
                  </w:r>
                  <w:r w:rsidRPr="0072699C">
                    <w:rPr>
                      <w:rFonts w:ascii="Times New Roman" w:eastAsia="Cambria" w:hAnsi="Times New Roman"/>
                      <w:sz w:val="22"/>
                      <w:szCs w:val="22"/>
                    </w:rPr>
                    <w:t xml:space="preserve"> the normal operation of the "MIT" system for commercial data protection and </w:t>
                  </w:r>
                  <w:r w:rsidR="00CC720D">
                    <w:rPr>
                      <w:rFonts w:ascii="Times New Roman" w:eastAsia="Cambria" w:hAnsi="Times New Roman"/>
                      <w:sz w:val="22"/>
                      <w:szCs w:val="22"/>
                    </w:rPr>
                    <w:t xml:space="preserve">surveillance </w:t>
                  </w:r>
                  <w:r w:rsidRPr="0072699C">
                    <w:rPr>
                      <w:rFonts w:ascii="Times New Roman" w:eastAsia="Cambria" w:hAnsi="Times New Roman"/>
                      <w:sz w:val="22"/>
                      <w:szCs w:val="22"/>
                    </w:rPr>
                    <w:t>before 2012</w:t>
                  </w:r>
                  <w:r>
                    <w:rPr>
                      <w:rFonts w:ascii="Times New Roman" w:eastAsia="Cambria" w:hAnsi="Times New Roman"/>
                      <w:sz w:val="22"/>
                      <w:szCs w:val="22"/>
                    </w:rPr>
                    <w:t xml:space="preserve"> to prevent data loss and destruction</w:t>
                  </w:r>
                  <w:r w:rsidRPr="0072699C">
                    <w:rPr>
                      <w:rFonts w:ascii="Times New Roman" w:eastAsia="Cambria" w:hAnsi="Times New Roman"/>
                      <w:sz w:val="22"/>
                      <w:szCs w:val="22"/>
                    </w:rPr>
                    <w:t>.</w:t>
                  </w:r>
                </w:p>
              </w:tc>
            </w:tr>
          </w:tbl>
          <w:p w14:paraId="2DB111D0" w14:textId="4481D21B" w:rsidR="00827A23" w:rsidRPr="0050253B" w:rsidRDefault="00827A23" w:rsidP="00EE516D">
            <w:pPr>
              <w:spacing w:after="0" w:line="240" w:lineRule="auto"/>
              <w:jc w:val="both"/>
              <w:rPr>
                <w:rFonts w:eastAsia="Times New Roman" w:cs="Times New Roman"/>
                <w:i/>
                <w:iCs/>
                <w:color w:val="000000"/>
                <w:sz w:val="20"/>
                <w:szCs w:val="20"/>
                <w:lang w:eastAsia="mn-MN"/>
              </w:rPr>
            </w:pPr>
            <w:r w:rsidRPr="0050253B">
              <w:rPr>
                <w:rFonts w:eastAsia="Times New Roman" w:cs="Times New Roman"/>
                <w:i/>
                <w:iCs/>
                <w:color w:val="000000"/>
                <w:sz w:val="20"/>
                <w:szCs w:val="20"/>
                <w:lang w:eastAsia="mn-MN"/>
              </w:rPr>
              <w:t> </w:t>
            </w:r>
          </w:p>
        </w:tc>
      </w:tr>
      <w:tr w:rsidR="0071144A" w:rsidRPr="006B0BDD" w14:paraId="518B003E" w14:textId="77777777" w:rsidTr="007F27AC">
        <w:trPr>
          <w:trHeight w:val="72"/>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4B14BBFE" w14:textId="593C5C11"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lastRenderedPageBreak/>
              <w:t>7</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757CD883" w14:textId="27B2CFFE" w:rsidR="008B1D5B" w:rsidRPr="006B0BDD" w:rsidRDefault="008202ED" w:rsidP="008B1D5B">
            <w:pPr>
              <w:spacing w:after="0" w:line="240" w:lineRule="auto"/>
              <w:rPr>
                <w:rFonts w:eastAsia="Times New Roman" w:cs="Times New Roman"/>
                <w:i/>
                <w:iCs/>
                <w:color w:val="000000"/>
                <w:szCs w:val="24"/>
                <w:lang w:eastAsia="mn-MN"/>
              </w:rPr>
            </w:pPr>
            <w:r w:rsidRPr="008202ED">
              <w:rPr>
                <w:rFonts w:eastAsia="Times New Roman" w:cs="Times New Roman"/>
                <w:i/>
                <w:iCs/>
                <w:color w:val="000000"/>
                <w:szCs w:val="24"/>
                <w:lang w:eastAsia="mn-MN"/>
              </w:rPr>
              <w:t>information of shareholders ownership /names of  shareholders with ownership of 5 or more percentage of total shares, and number of total shareholders/</w:t>
            </w:r>
          </w:p>
        </w:tc>
      </w:tr>
      <w:tr w:rsidR="0071144A" w:rsidRPr="006B0BDD" w14:paraId="58425334" w14:textId="77777777" w:rsidTr="006B0BDD">
        <w:trPr>
          <w:trHeight w:val="43"/>
        </w:trPr>
        <w:tc>
          <w:tcPr>
            <w:tcW w:w="1623" w:type="dxa"/>
            <w:tcBorders>
              <w:top w:val="nil"/>
              <w:left w:val="single" w:sz="4" w:space="0" w:color="auto"/>
              <w:bottom w:val="single" w:sz="4" w:space="0" w:color="auto"/>
              <w:right w:val="single" w:sz="4" w:space="0" w:color="auto"/>
            </w:tcBorders>
            <w:shd w:val="clear" w:color="auto" w:fill="auto"/>
            <w:hideMark/>
          </w:tcPr>
          <w:p w14:paraId="5C951EAB" w14:textId="77777777" w:rsidR="008B1D5B" w:rsidRPr="006B0BDD" w:rsidRDefault="008B1D5B" w:rsidP="00E60E9B">
            <w:pPr>
              <w:spacing w:after="0" w:line="240" w:lineRule="auto"/>
              <w:jc w:val="right"/>
              <w:rPr>
                <w:rFonts w:eastAsia="Times New Roman" w:cs="Times New Roman"/>
                <w:i/>
                <w:iCs/>
                <w:color w:val="000000"/>
                <w:szCs w:val="24"/>
                <w:lang w:eastAsia="mn-MN"/>
              </w:rPr>
            </w:pPr>
            <w:r w:rsidRPr="006B0BDD">
              <w:rPr>
                <w:rFonts w:eastAsia="Times New Roman" w:cs="Times New Roman"/>
                <w:i/>
                <w:iCs/>
                <w:color w:val="000000"/>
                <w:szCs w:val="24"/>
                <w:lang w:eastAsia="mn-MN"/>
              </w:rPr>
              <w:t> </w:t>
            </w:r>
          </w:p>
        </w:tc>
        <w:tc>
          <w:tcPr>
            <w:tcW w:w="9087" w:type="dxa"/>
            <w:gridSpan w:val="2"/>
            <w:tcBorders>
              <w:top w:val="single" w:sz="4" w:space="0" w:color="auto"/>
              <w:left w:val="nil"/>
              <w:bottom w:val="single" w:sz="4" w:space="0" w:color="auto"/>
              <w:right w:val="single" w:sz="4" w:space="0" w:color="000000"/>
            </w:tcBorders>
            <w:shd w:val="clear" w:color="auto" w:fill="auto"/>
            <w:hideMark/>
          </w:tcPr>
          <w:p w14:paraId="5FC65F49" w14:textId="7C32E8EA" w:rsidR="008B1D5B" w:rsidRPr="006B0BDD" w:rsidRDefault="008B1D5B" w:rsidP="008B1D5B">
            <w:pPr>
              <w:spacing w:after="0" w:line="240" w:lineRule="auto"/>
              <w:rPr>
                <w:rFonts w:eastAsia="Times New Roman" w:cs="Times New Roman"/>
                <w:i/>
                <w:iCs/>
                <w:color w:val="000000"/>
                <w:szCs w:val="24"/>
                <w:lang w:eastAsia="mn-MN"/>
              </w:rPr>
            </w:pPr>
            <w:r w:rsidRPr="006B0BDD">
              <w:rPr>
                <w:rFonts w:eastAsia="Times New Roman" w:cs="Times New Roman"/>
                <w:i/>
                <w:iCs/>
                <w:color w:val="000000"/>
                <w:szCs w:val="24"/>
                <w:lang w:eastAsia="mn-MN"/>
              </w:rPr>
              <w:t> </w:t>
            </w:r>
            <w:r w:rsidR="00746BA2">
              <w:rPr>
                <w:rFonts w:eastAsia="Times New Roman" w:cs="Times New Roman"/>
                <w:i/>
                <w:iCs/>
                <w:color w:val="000000"/>
                <w:szCs w:val="24"/>
                <w:lang w:val="en-US" w:eastAsia="mn-MN"/>
              </w:rPr>
              <w:t xml:space="preserve">Ministry of </w:t>
            </w:r>
            <w:r w:rsidR="006E36AD">
              <w:rPr>
                <w:rFonts w:eastAsia="Times New Roman" w:cs="Times New Roman"/>
                <w:i/>
                <w:iCs/>
                <w:color w:val="000000"/>
                <w:szCs w:val="24"/>
                <w:lang w:val="en-US" w:eastAsia="mn-MN"/>
              </w:rPr>
              <w:t>Finance</w:t>
            </w:r>
            <w:r w:rsidR="00811078" w:rsidRPr="006B0BDD">
              <w:rPr>
                <w:rFonts w:eastAsia="Times New Roman" w:cs="Times New Roman"/>
                <w:i/>
                <w:iCs/>
                <w:color w:val="000000"/>
                <w:szCs w:val="24"/>
                <w:lang w:eastAsia="mn-MN"/>
              </w:rPr>
              <w:t xml:space="preserve"> </w:t>
            </w:r>
            <w:r w:rsidR="00503A0D">
              <w:rPr>
                <w:rFonts w:eastAsia="Times New Roman" w:cs="Times New Roman"/>
                <w:i/>
                <w:iCs/>
                <w:color w:val="000000"/>
                <w:szCs w:val="24"/>
                <w:lang w:eastAsia="mn-MN"/>
              </w:rPr>
              <w:t>66</w:t>
            </w:r>
            <w:r w:rsidR="00811078" w:rsidRPr="006B0BDD">
              <w:rPr>
                <w:rFonts w:eastAsia="Times New Roman" w:cs="Times New Roman"/>
                <w:i/>
                <w:iCs/>
                <w:color w:val="000000"/>
                <w:szCs w:val="24"/>
                <w:lang w:eastAsia="mn-MN"/>
              </w:rPr>
              <w:t>%</w:t>
            </w:r>
          </w:p>
        </w:tc>
      </w:tr>
      <w:tr w:rsidR="0071144A" w:rsidRPr="006B0BDD" w14:paraId="6FFD0E36" w14:textId="77777777" w:rsidTr="007F27AC">
        <w:trPr>
          <w:trHeight w:val="65"/>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037ECA03" w14:textId="7BA4CC8B" w:rsidR="008B1D5B" w:rsidRPr="006B0BDD" w:rsidRDefault="008B1D5B" w:rsidP="007F27AC">
            <w:pPr>
              <w:spacing w:after="0" w:line="240" w:lineRule="auto"/>
              <w:jc w:val="center"/>
              <w:rPr>
                <w:rFonts w:eastAsia="Times New Roman" w:cs="Times New Roman"/>
                <w:i/>
                <w:iCs/>
                <w:color w:val="000000"/>
                <w:szCs w:val="24"/>
                <w:lang w:eastAsia="mn-MN"/>
              </w:rPr>
            </w:pPr>
            <w:bookmarkStart w:id="5" w:name="_Hlk130915749"/>
            <w:bookmarkStart w:id="6" w:name="_Hlk130915761"/>
            <w:r w:rsidRPr="006B0BDD">
              <w:rPr>
                <w:rFonts w:eastAsia="Times New Roman" w:cs="Times New Roman"/>
                <w:i/>
                <w:iCs/>
                <w:color w:val="000000"/>
                <w:szCs w:val="24"/>
                <w:lang w:eastAsia="mn-MN"/>
              </w:rPr>
              <w:t>8</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32187995" w14:textId="1E5ED1C3" w:rsidR="008B1D5B" w:rsidRPr="006B0BDD" w:rsidRDefault="008202ED" w:rsidP="008B1D5B">
            <w:pPr>
              <w:spacing w:after="0" w:line="240" w:lineRule="auto"/>
              <w:rPr>
                <w:rFonts w:eastAsia="Times New Roman" w:cs="Times New Roman"/>
                <w:i/>
                <w:iCs/>
                <w:color w:val="000000"/>
                <w:szCs w:val="24"/>
                <w:lang w:eastAsia="mn-MN"/>
              </w:rPr>
            </w:pPr>
            <w:r w:rsidRPr="008202ED">
              <w:rPr>
                <w:rFonts w:eastAsia="Times New Roman" w:cs="Times New Roman"/>
                <w:i/>
                <w:iCs/>
                <w:color w:val="000000"/>
                <w:szCs w:val="24"/>
                <w:lang w:eastAsia="mn-MN"/>
              </w:rPr>
              <w:t>If the issuer has issued shares to the public for the purpose of implementing a project, a report on the progress of project implementation and the use of funds raised during the period from the start of the project to its completion.</w:t>
            </w:r>
          </w:p>
        </w:tc>
      </w:tr>
      <w:bookmarkEnd w:id="5"/>
      <w:tr w:rsidR="00827A23" w:rsidRPr="006B0BDD" w14:paraId="2A48C226" w14:textId="77777777" w:rsidTr="0050253B">
        <w:trPr>
          <w:trHeight w:val="332"/>
        </w:trPr>
        <w:tc>
          <w:tcPr>
            <w:tcW w:w="10710" w:type="dxa"/>
            <w:gridSpan w:val="3"/>
            <w:tcBorders>
              <w:top w:val="nil"/>
              <w:left w:val="single" w:sz="4" w:space="0" w:color="auto"/>
              <w:bottom w:val="single" w:sz="4" w:space="0" w:color="auto"/>
              <w:right w:val="single" w:sz="4" w:space="0" w:color="000000"/>
            </w:tcBorders>
            <w:shd w:val="clear" w:color="auto" w:fill="auto"/>
            <w:hideMark/>
          </w:tcPr>
          <w:p w14:paraId="433D85F4" w14:textId="105ED52D" w:rsidR="00827A23" w:rsidRPr="008418F4" w:rsidRDefault="008418F4" w:rsidP="008B1D5B">
            <w:pPr>
              <w:spacing w:after="0" w:line="240" w:lineRule="auto"/>
              <w:rPr>
                <w:rFonts w:eastAsia="Times New Roman" w:cs="Times New Roman"/>
                <w:i/>
                <w:iCs/>
                <w:color w:val="000000"/>
                <w:szCs w:val="24"/>
                <w:lang w:val="en-US" w:eastAsia="mn-MN"/>
              </w:rPr>
            </w:pPr>
            <w:r>
              <w:rPr>
                <w:rFonts w:eastAsia="Times New Roman" w:cs="Times New Roman"/>
                <w:i/>
                <w:iCs/>
                <w:color w:val="000000"/>
                <w:szCs w:val="24"/>
                <w:lang w:val="en-US" w:eastAsia="mn-MN"/>
              </w:rPr>
              <w:t>N/A</w:t>
            </w:r>
          </w:p>
        </w:tc>
      </w:tr>
      <w:bookmarkEnd w:id="6"/>
      <w:tr w:rsidR="0071144A" w:rsidRPr="006B0BDD" w14:paraId="6BF9DF0C" w14:textId="77777777" w:rsidTr="007F27AC">
        <w:trPr>
          <w:trHeight w:val="17"/>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444D03D8" w14:textId="7C47DE90"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t>9</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59995FB7" w14:textId="098FFF62" w:rsidR="008B1D5B" w:rsidRPr="008418F4" w:rsidRDefault="008418F4" w:rsidP="008B1D5B">
            <w:pPr>
              <w:spacing w:after="0" w:line="240" w:lineRule="auto"/>
              <w:rPr>
                <w:rFonts w:eastAsia="Times New Roman" w:cs="Times New Roman"/>
                <w:i/>
                <w:iCs/>
                <w:color w:val="000000"/>
                <w:szCs w:val="24"/>
                <w:lang w:val="en-US" w:eastAsia="mn-MN"/>
              </w:rPr>
            </w:pPr>
            <w:r>
              <w:rPr>
                <w:rFonts w:eastAsia="Times New Roman" w:cs="Times New Roman"/>
                <w:i/>
                <w:iCs/>
                <w:color w:val="000000"/>
                <w:szCs w:val="24"/>
                <w:lang w:val="en-US" w:eastAsia="mn-MN"/>
              </w:rPr>
              <w:t>Dividend</w:t>
            </w:r>
          </w:p>
        </w:tc>
      </w:tr>
      <w:tr w:rsidR="00827A23" w:rsidRPr="006B0BDD" w14:paraId="1A5F1515" w14:textId="77777777" w:rsidTr="00827A23">
        <w:trPr>
          <w:trHeight w:val="782"/>
        </w:trPr>
        <w:tc>
          <w:tcPr>
            <w:tcW w:w="10710" w:type="dxa"/>
            <w:gridSpan w:val="3"/>
            <w:tcBorders>
              <w:top w:val="nil"/>
              <w:left w:val="single" w:sz="4" w:space="0" w:color="auto"/>
              <w:bottom w:val="single" w:sz="4" w:space="0" w:color="auto"/>
              <w:right w:val="single" w:sz="4" w:space="0" w:color="000000"/>
            </w:tcBorders>
            <w:shd w:val="clear" w:color="auto" w:fill="auto"/>
            <w:hideMark/>
          </w:tcPr>
          <w:p w14:paraId="3B6871D1" w14:textId="30E32DD4" w:rsidR="00827A23" w:rsidRPr="006B0BDD" w:rsidRDefault="00827A23" w:rsidP="00E60E9B">
            <w:pPr>
              <w:spacing w:after="0" w:line="240" w:lineRule="auto"/>
              <w:jc w:val="right"/>
              <w:rPr>
                <w:rFonts w:eastAsia="Times New Roman" w:cs="Times New Roman"/>
                <w:i/>
                <w:iCs/>
                <w:color w:val="000000"/>
                <w:szCs w:val="24"/>
                <w:lang w:eastAsia="mn-MN"/>
              </w:rPr>
            </w:pPr>
          </w:p>
          <w:p w14:paraId="40871C8D" w14:textId="5A9BB8FE" w:rsidR="008418F4" w:rsidRPr="000830D7" w:rsidRDefault="008418F4" w:rsidP="00827A23">
            <w:pPr>
              <w:spacing w:after="0" w:line="240" w:lineRule="auto"/>
              <w:jc w:val="center"/>
              <w:rPr>
                <w:rFonts w:eastAsia="Times New Roman" w:cs="Times New Roman"/>
                <w:i/>
                <w:iCs/>
                <w:color w:val="000000"/>
                <w:szCs w:val="24"/>
                <w:lang w:eastAsia="mn-MN"/>
              </w:rPr>
            </w:pPr>
            <w:r w:rsidRPr="008418F4">
              <w:rPr>
                <w:rFonts w:eastAsia="Times New Roman" w:cs="Times New Roman"/>
                <w:i/>
                <w:iCs/>
                <w:color w:val="000000"/>
                <w:szCs w:val="24"/>
                <w:lang w:eastAsia="mn-MN"/>
              </w:rPr>
              <w:t>The company distributed a dividend of 4,349,252,518.99 MNT from the net profit of 8,699,165,845 MNT for the end of 2023, at 12</w:t>
            </w:r>
            <w:r>
              <w:rPr>
                <w:rFonts w:eastAsia="Times New Roman" w:cs="Times New Roman"/>
                <w:i/>
                <w:iCs/>
                <w:color w:val="000000"/>
                <w:szCs w:val="24"/>
                <w:lang w:val="en-US" w:eastAsia="mn-MN"/>
              </w:rPr>
              <w:t>.41</w:t>
            </w:r>
            <w:r w:rsidRPr="008418F4">
              <w:rPr>
                <w:rFonts w:eastAsia="Times New Roman" w:cs="Times New Roman"/>
                <w:i/>
                <w:iCs/>
                <w:color w:val="000000"/>
                <w:szCs w:val="24"/>
                <w:lang w:eastAsia="mn-MN"/>
              </w:rPr>
              <w:t xml:space="preserve"> MNT per share.</w:t>
            </w:r>
          </w:p>
        </w:tc>
      </w:tr>
      <w:tr w:rsidR="0071144A" w:rsidRPr="006B0BDD" w14:paraId="0B324E41" w14:textId="77777777" w:rsidTr="007F27AC">
        <w:trPr>
          <w:trHeight w:val="90"/>
        </w:trPr>
        <w:tc>
          <w:tcPr>
            <w:tcW w:w="1623" w:type="dxa"/>
            <w:tcBorders>
              <w:top w:val="nil"/>
              <w:left w:val="single" w:sz="4" w:space="0" w:color="auto"/>
              <w:bottom w:val="single" w:sz="4" w:space="0" w:color="auto"/>
              <w:right w:val="single" w:sz="4" w:space="0" w:color="auto"/>
            </w:tcBorders>
            <w:shd w:val="clear" w:color="auto" w:fill="D9E2F3" w:themeFill="accent1" w:themeFillTint="33"/>
            <w:hideMark/>
          </w:tcPr>
          <w:p w14:paraId="4CB88186" w14:textId="6C323412" w:rsidR="008B1D5B" w:rsidRPr="006B0BDD" w:rsidRDefault="008B1D5B" w:rsidP="007F27AC">
            <w:pPr>
              <w:spacing w:after="0" w:line="240" w:lineRule="auto"/>
              <w:jc w:val="center"/>
              <w:rPr>
                <w:rFonts w:eastAsia="Times New Roman" w:cs="Times New Roman"/>
                <w:i/>
                <w:iCs/>
                <w:color w:val="000000"/>
                <w:szCs w:val="24"/>
                <w:lang w:eastAsia="mn-MN"/>
              </w:rPr>
            </w:pPr>
            <w:r w:rsidRPr="006B0BDD">
              <w:rPr>
                <w:rFonts w:eastAsia="Times New Roman" w:cs="Times New Roman"/>
                <w:i/>
                <w:iCs/>
                <w:color w:val="000000"/>
                <w:szCs w:val="24"/>
                <w:lang w:eastAsia="mn-MN"/>
              </w:rPr>
              <w:lastRenderedPageBreak/>
              <w:t>10</w:t>
            </w:r>
            <w:r w:rsidR="007F27AC">
              <w:rPr>
                <w:rFonts w:eastAsia="Times New Roman" w:cs="Times New Roman"/>
                <w:i/>
                <w:iCs/>
                <w:color w:val="000000"/>
                <w:szCs w:val="24"/>
                <w:lang w:eastAsia="mn-MN"/>
              </w:rPr>
              <w:t>.</w:t>
            </w:r>
          </w:p>
        </w:tc>
        <w:tc>
          <w:tcPr>
            <w:tcW w:w="9087" w:type="dxa"/>
            <w:gridSpan w:val="2"/>
            <w:tcBorders>
              <w:top w:val="single" w:sz="4" w:space="0" w:color="auto"/>
              <w:left w:val="nil"/>
              <w:bottom w:val="single" w:sz="4" w:space="0" w:color="auto"/>
              <w:right w:val="single" w:sz="4" w:space="0" w:color="auto"/>
            </w:tcBorders>
            <w:shd w:val="clear" w:color="auto" w:fill="D9E2F3" w:themeFill="accent1" w:themeFillTint="33"/>
            <w:hideMark/>
          </w:tcPr>
          <w:p w14:paraId="5D4DC2AD" w14:textId="4E4234CC" w:rsidR="008B1D5B" w:rsidRPr="006B0BDD" w:rsidRDefault="008418F4" w:rsidP="008B1D5B">
            <w:pPr>
              <w:spacing w:after="240" w:line="240" w:lineRule="auto"/>
              <w:rPr>
                <w:rFonts w:eastAsia="Times New Roman" w:cs="Times New Roman"/>
                <w:i/>
                <w:iCs/>
                <w:color w:val="000000"/>
                <w:szCs w:val="24"/>
                <w:lang w:eastAsia="mn-MN"/>
              </w:rPr>
            </w:pPr>
            <w:r w:rsidRPr="008418F4">
              <w:rPr>
                <w:rFonts w:eastAsia="Times New Roman" w:cs="Times New Roman"/>
                <w:i/>
                <w:iCs/>
                <w:color w:val="000000"/>
                <w:szCs w:val="24"/>
                <w:lang w:eastAsia="mn-MN"/>
              </w:rPr>
              <w:t>Information on the report of activities carried out by the issuer in the field of social responsibility during the reporting period</w:t>
            </w:r>
          </w:p>
        </w:tc>
      </w:tr>
      <w:tr w:rsidR="0050253B" w:rsidRPr="006B0BDD" w14:paraId="36B6B3BD" w14:textId="77777777" w:rsidTr="00F92B2D">
        <w:trPr>
          <w:trHeight w:val="918"/>
        </w:trPr>
        <w:tc>
          <w:tcPr>
            <w:tcW w:w="10710" w:type="dxa"/>
            <w:gridSpan w:val="3"/>
            <w:tcBorders>
              <w:top w:val="nil"/>
              <w:left w:val="single" w:sz="4" w:space="0" w:color="auto"/>
              <w:bottom w:val="single" w:sz="4" w:space="0" w:color="auto"/>
              <w:right w:val="single" w:sz="4" w:space="0" w:color="000000"/>
            </w:tcBorders>
            <w:shd w:val="clear" w:color="auto" w:fill="auto"/>
            <w:hideMark/>
          </w:tcPr>
          <w:p w14:paraId="159BCDA9" w14:textId="77777777" w:rsidR="0050253B" w:rsidRPr="0050253B" w:rsidRDefault="0050253B" w:rsidP="008B1D5B">
            <w:pPr>
              <w:spacing w:after="0" w:line="240" w:lineRule="auto"/>
              <w:rPr>
                <w:rFonts w:eastAsia="Times New Roman" w:cs="Times New Roman"/>
                <w:i/>
                <w:iCs/>
                <w:color w:val="000000"/>
                <w:sz w:val="22"/>
                <w:lang w:eastAsia="mn-MN"/>
              </w:rPr>
            </w:pPr>
            <w:r w:rsidRPr="0050253B">
              <w:rPr>
                <w:rFonts w:eastAsia="Times New Roman" w:cs="Times New Roman"/>
                <w:i/>
                <w:iCs/>
                <w:color w:val="000000"/>
                <w:sz w:val="22"/>
                <w:lang w:eastAsia="mn-MN"/>
              </w:rPr>
              <w:t> </w:t>
            </w:r>
          </w:p>
          <w:p w14:paraId="65242545" w14:textId="11340A14" w:rsidR="0050253B" w:rsidRPr="0050253B" w:rsidRDefault="002E29CC" w:rsidP="008B1D5B">
            <w:pPr>
              <w:spacing w:after="0" w:line="240" w:lineRule="auto"/>
              <w:rPr>
                <w:rFonts w:eastAsia="Times New Roman" w:cs="Times New Roman"/>
                <w:i/>
                <w:iCs/>
                <w:color w:val="000000"/>
                <w:sz w:val="22"/>
                <w:lang w:eastAsia="mn-MN"/>
              </w:rPr>
            </w:pPr>
            <w:r w:rsidRPr="002E29CC">
              <w:rPr>
                <w:rFonts w:eastAsia="Times New Roman" w:cs="Times New Roman"/>
                <w:i/>
                <w:iCs/>
                <w:color w:val="000000"/>
                <w:sz w:val="22"/>
                <w:lang w:eastAsia="mn-MN"/>
              </w:rPr>
              <w:t>The staff of "The Mongolian Stock Exchange" joined the "Billion Trees" national movement and planted trees in the 2</w:t>
            </w:r>
            <w:r>
              <w:rPr>
                <w:rFonts w:eastAsia="Times New Roman" w:cs="Times New Roman"/>
                <w:i/>
                <w:iCs/>
                <w:color w:val="000000"/>
                <w:sz w:val="22"/>
                <w:lang w:val="en-US" w:eastAsia="mn-MN"/>
              </w:rPr>
              <w:t>1st</w:t>
            </w:r>
            <w:r w:rsidRPr="002E29CC">
              <w:rPr>
                <w:rFonts w:eastAsia="Times New Roman" w:cs="Times New Roman"/>
                <w:i/>
                <w:iCs/>
                <w:color w:val="000000"/>
                <w:sz w:val="22"/>
                <w:lang w:eastAsia="mn-MN"/>
              </w:rPr>
              <w:t xml:space="preserve"> district of Songinokhairkhan district.</w:t>
            </w:r>
          </w:p>
        </w:tc>
      </w:tr>
      <w:tr w:rsidR="008B1D5B" w:rsidRPr="006B0BDD" w14:paraId="7A506601" w14:textId="77777777" w:rsidTr="006B0BDD">
        <w:trPr>
          <w:trHeight w:val="5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1A342D" w14:textId="5F8ACDCF" w:rsidR="008B1D5B" w:rsidRPr="006B0BDD" w:rsidRDefault="006F183D" w:rsidP="008B1D5B">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T</w:t>
            </w:r>
            <w:r w:rsidRPr="006F183D">
              <w:rPr>
                <w:rFonts w:eastAsia="Times New Roman" w:cs="Times New Roman"/>
                <w:i/>
                <w:iCs/>
                <w:color w:val="000000"/>
                <w:szCs w:val="24"/>
                <w:lang w:eastAsia="mn-MN"/>
              </w:rPr>
              <w:t>he person who confirmed the accuracy of the information, and the date:</w:t>
            </w:r>
          </w:p>
        </w:tc>
      </w:tr>
      <w:tr w:rsidR="00A67565" w:rsidRPr="006B0BDD" w14:paraId="49320146" w14:textId="77777777" w:rsidTr="006B0BDD">
        <w:trPr>
          <w:trHeight w:val="5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tcPr>
          <w:p w14:paraId="7325EC88" w14:textId="56774E7D" w:rsidR="00A67565" w:rsidRPr="006F183D" w:rsidRDefault="006F183D" w:rsidP="00A67565">
            <w:pPr>
              <w:spacing w:after="0" w:line="240" w:lineRule="auto"/>
              <w:rPr>
                <w:rFonts w:eastAsia="Times New Roman" w:cs="Times New Roman"/>
                <w:i/>
                <w:iCs/>
                <w:color w:val="000000"/>
                <w:szCs w:val="24"/>
                <w:lang w:val="en-US" w:eastAsia="mn-MN"/>
              </w:rPr>
            </w:pPr>
            <w:proofErr w:type="spellStart"/>
            <w:r>
              <w:rPr>
                <w:rFonts w:eastAsia="Times New Roman" w:cs="Times New Roman"/>
                <w:i/>
                <w:iCs/>
                <w:color w:val="000000"/>
                <w:szCs w:val="24"/>
                <w:lang w:val="en-US" w:eastAsia="mn-MN"/>
              </w:rPr>
              <w:t>Fullname</w:t>
            </w:r>
            <w:proofErr w:type="spellEnd"/>
            <w:r w:rsidR="00A67565">
              <w:rPr>
                <w:rFonts w:eastAsia="Times New Roman" w:cs="Times New Roman"/>
                <w:i/>
                <w:iCs/>
                <w:color w:val="000000"/>
                <w:szCs w:val="24"/>
                <w:lang w:eastAsia="mn-MN"/>
              </w:rPr>
              <w:t xml:space="preserve">: </w:t>
            </w:r>
            <w:proofErr w:type="gramStart"/>
            <w:r>
              <w:rPr>
                <w:rFonts w:eastAsia="Times New Roman" w:cs="Times New Roman"/>
                <w:i/>
                <w:iCs/>
                <w:color w:val="000000"/>
                <w:szCs w:val="24"/>
                <w:lang w:val="en-US" w:eastAsia="mn-MN"/>
              </w:rPr>
              <w:t>J.TSOGTBAYAR</w:t>
            </w:r>
            <w:proofErr w:type="gramEnd"/>
          </w:p>
          <w:p w14:paraId="10F0039D" w14:textId="347CE445" w:rsidR="00A67565" w:rsidRPr="006B0BDD" w:rsidRDefault="006F183D" w:rsidP="00A67565">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Position</w:t>
            </w:r>
            <w:r w:rsidR="00A67565" w:rsidRPr="006B0BDD">
              <w:rPr>
                <w:rFonts w:eastAsia="Times New Roman" w:cs="Times New Roman"/>
                <w:i/>
                <w:iCs/>
                <w:color w:val="000000"/>
                <w:szCs w:val="24"/>
                <w:lang w:eastAsia="mn-MN"/>
              </w:rPr>
              <w:t xml:space="preserve">: </w:t>
            </w:r>
            <w:r>
              <w:rPr>
                <w:rFonts w:eastAsia="Times New Roman" w:cs="Times New Roman"/>
                <w:i/>
                <w:iCs/>
                <w:color w:val="000000"/>
                <w:szCs w:val="24"/>
                <w:lang w:val="en-US" w:eastAsia="mn-MN"/>
              </w:rPr>
              <w:t xml:space="preserve">Chief Executive Officer of the </w:t>
            </w:r>
            <w:r w:rsidR="00A67565" w:rsidRPr="006B0BDD">
              <w:rPr>
                <w:rFonts w:eastAsia="Times New Roman" w:cs="Times New Roman"/>
                <w:i/>
                <w:iCs/>
                <w:color w:val="000000"/>
                <w:szCs w:val="24"/>
                <w:lang w:eastAsia="mn-MN"/>
              </w:rPr>
              <w:t>“</w:t>
            </w:r>
            <w:r>
              <w:rPr>
                <w:rFonts w:eastAsia="Times New Roman" w:cs="Times New Roman"/>
                <w:i/>
                <w:iCs/>
                <w:color w:val="000000"/>
                <w:szCs w:val="24"/>
                <w:lang w:val="en-US" w:eastAsia="mn-MN"/>
              </w:rPr>
              <w:t>Mongolian Stock Exchange</w:t>
            </w:r>
            <w:r w:rsidR="00A67565" w:rsidRPr="006B0BDD">
              <w:rPr>
                <w:rFonts w:eastAsia="Times New Roman" w:cs="Times New Roman"/>
                <w:i/>
                <w:iCs/>
                <w:color w:val="000000"/>
                <w:szCs w:val="24"/>
                <w:lang w:eastAsia="mn-MN"/>
              </w:rPr>
              <w:t xml:space="preserve">” </w:t>
            </w:r>
            <w:r>
              <w:rPr>
                <w:rFonts w:eastAsia="Times New Roman" w:cs="Times New Roman"/>
                <w:i/>
                <w:iCs/>
                <w:color w:val="000000"/>
                <w:szCs w:val="24"/>
                <w:lang w:val="en-US" w:eastAsia="mn-MN"/>
              </w:rPr>
              <w:t xml:space="preserve">JSC </w:t>
            </w:r>
          </w:p>
          <w:p w14:paraId="62C74838" w14:textId="06F87927" w:rsidR="00A67565" w:rsidRPr="006B0BDD" w:rsidRDefault="006F183D" w:rsidP="00A67565">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Signature</w:t>
            </w:r>
            <w:r w:rsidR="00A67565" w:rsidRPr="006B0BDD">
              <w:rPr>
                <w:rFonts w:eastAsia="Times New Roman" w:cs="Times New Roman"/>
                <w:i/>
                <w:iCs/>
                <w:color w:val="000000"/>
                <w:szCs w:val="24"/>
                <w:lang w:eastAsia="mn-MN"/>
              </w:rPr>
              <w:t>: …………………………</w:t>
            </w:r>
            <w:proofErr w:type="gramStart"/>
            <w:r w:rsidR="00A67565" w:rsidRPr="006B0BDD">
              <w:rPr>
                <w:rFonts w:eastAsia="Times New Roman" w:cs="Times New Roman"/>
                <w:i/>
                <w:iCs/>
                <w:color w:val="000000"/>
                <w:szCs w:val="24"/>
                <w:lang w:eastAsia="mn-MN"/>
              </w:rPr>
              <w:t>…..</w:t>
            </w:r>
            <w:proofErr w:type="gramEnd"/>
          </w:p>
          <w:p w14:paraId="50FB066A" w14:textId="77777777" w:rsidR="00A67565" w:rsidRPr="006B0BDD" w:rsidRDefault="00A67565" w:rsidP="008B1D5B">
            <w:pPr>
              <w:spacing w:after="0" w:line="240" w:lineRule="auto"/>
              <w:rPr>
                <w:rFonts w:eastAsia="Times New Roman" w:cs="Times New Roman"/>
                <w:i/>
                <w:iCs/>
                <w:color w:val="000000"/>
                <w:szCs w:val="24"/>
                <w:lang w:eastAsia="mn-MN"/>
              </w:rPr>
            </w:pPr>
          </w:p>
        </w:tc>
      </w:tr>
      <w:tr w:rsidR="00A67565" w:rsidRPr="006B0BDD" w14:paraId="07CF3564" w14:textId="77777777" w:rsidTr="006B0BDD">
        <w:trPr>
          <w:trHeight w:val="5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tcPr>
          <w:p w14:paraId="0D9AD44D" w14:textId="7CAAED00" w:rsidR="00A67565" w:rsidRPr="006B0BDD" w:rsidRDefault="00F238DC" w:rsidP="008B1D5B">
            <w:pPr>
              <w:spacing w:after="0" w:line="240" w:lineRule="auto"/>
              <w:rPr>
                <w:rFonts w:eastAsia="Times New Roman" w:cs="Times New Roman"/>
                <w:i/>
                <w:iCs/>
                <w:color w:val="000000"/>
                <w:szCs w:val="24"/>
                <w:lang w:eastAsia="mn-MN"/>
              </w:rPr>
            </w:pPr>
            <w:r w:rsidRPr="00F238DC">
              <w:rPr>
                <w:rFonts w:eastAsia="Times New Roman" w:cs="Times New Roman"/>
                <w:i/>
                <w:iCs/>
                <w:color w:val="000000"/>
                <w:szCs w:val="24"/>
                <w:lang w:eastAsia="mn-MN"/>
              </w:rPr>
              <w:t>Signature of the person who prepared the information and the date:</w:t>
            </w:r>
          </w:p>
        </w:tc>
      </w:tr>
      <w:tr w:rsidR="00A67565" w:rsidRPr="006B0BDD" w14:paraId="35C25204" w14:textId="77777777" w:rsidTr="006B0BDD">
        <w:trPr>
          <w:trHeight w:val="5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tcPr>
          <w:p w14:paraId="7AD13DE4" w14:textId="156B7A65" w:rsidR="00A67565" w:rsidRPr="00F238DC" w:rsidRDefault="00F238DC" w:rsidP="00A67565">
            <w:pPr>
              <w:spacing w:after="0" w:line="240" w:lineRule="auto"/>
              <w:rPr>
                <w:rFonts w:eastAsia="Times New Roman" w:cs="Times New Roman"/>
                <w:i/>
                <w:iCs/>
                <w:color w:val="000000"/>
                <w:szCs w:val="24"/>
                <w:lang w:val="en-US" w:eastAsia="mn-MN"/>
              </w:rPr>
            </w:pPr>
            <w:proofErr w:type="spellStart"/>
            <w:r>
              <w:rPr>
                <w:rFonts w:eastAsia="Times New Roman" w:cs="Times New Roman"/>
                <w:i/>
                <w:iCs/>
                <w:color w:val="000000"/>
                <w:szCs w:val="24"/>
                <w:lang w:val="en-US" w:eastAsia="mn-MN"/>
              </w:rPr>
              <w:t>Fullname</w:t>
            </w:r>
            <w:proofErr w:type="spellEnd"/>
            <w:r w:rsidR="00A67565">
              <w:rPr>
                <w:rFonts w:eastAsia="Times New Roman" w:cs="Times New Roman"/>
                <w:i/>
                <w:iCs/>
                <w:color w:val="000000"/>
                <w:szCs w:val="24"/>
                <w:lang w:eastAsia="mn-MN"/>
              </w:rPr>
              <w:t xml:space="preserve">: </w:t>
            </w:r>
            <w:proofErr w:type="spellStart"/>
            <w:proofErr w:type="gramStart"/>
            <w:r>
              <w:rPr>
                <w:rFonts w:eastAsia="Times New Roman" w:cs="Times New Roman"/>
                <w:i/>
                <w:iCs/>
                <w:color w:val="000000"/>
                <w:szCs w:val="24"/>
                <w:lang w:val="en-US" w:eastAsia="mn-MN"/>
              </w:rPr>
              <w:t>Kh.ERDENEBUREN</w:t>
            </w:r>
            <w:proofErr w:type="spellEnd"/>
            <w:proofErr w:type="gramEnd"/>
          </w:p>
          <w:p w14:paraId="48404259" w14:textId="163567F1" w:rsidR="00A67565" w:rsidRPr="00F238DC" w:rsidRDefault="00F238DC" w:rsidP="00A67565">
            <w:pPr>
              <w:spacing w:after="0" w:line="240" w:lineRule="auto"/>
              <w:rPr>
                <w:rFonts w:eastAsia="Times New Roman" w:cs="Times New Roman"/>
                <w:i/>
                <w:iCs/>
                <w:color w:val="000000"/>
                <w:szCs w:val="24"/>
                <w:lang w:val="en-US" w:eastAsia="mn-MN"/>
              </w:rPr>
            </w:pPr>
            <w:r>
              <w:rPr>
                <w:rFonts w:eastAsia="Times New Roman" w:cs="Times New Roman"/>
                <w:i/>
                <w:iCs/>
                <w:color w:val="000000"/>
                <w:szCs w:val="24"/>
                <w:lang w:eastAsia="mn-MN"/>
              </w:rPr>
              <w:t>Position</w:t>
            </w:r>
            <w:r w:rsidR="00A67565" w:rsidRPr="006B0BDD">
              <w:rPr>
                <w:rFonts w:eastAsia="Times New Roman" w:cs="Times New Roman"/>
                <w:i/>
                <w:iCs/>
                <w:color w:val="000000"/>
                <w:szCs w:val="24"/>
                <w:lang w:eastAsia="mn-MN"/>
              </w:rPr>
              <w:t xml:space="preserve">: </w:t>
            </w:r>
            <w:r>
              <w:rPr>
                <w:rFonts w:eastAsia="Times New Roman" w:cs="Times New Roman"/>
                <w:i/>
                <w:iCs/>
                <w:color w:val="000000"/>
                <w:szCs w:val="24"/>
                <w:lang w:val="en-US" w:eastAsia="mn-MN"/>
              </w:rPr>
              <w:t>Chief administration &amp; financial officer</w:t>
            </w:r>
            <w:r w:rsidR="006F183D">
              <w:rPr>
                <w:rFonts w:eastAsia="Times New Roman" w:cs="Times New Roman"/>
                <w:i/>
                <w:iCs/>
                <w:color w:val="000000"/>
                <w:szCs w:val="24"/>
                <w:lang w:val="en-US" w:eastAsia="mn-MN"/>
              </w:rPr>
              <w:t xml:space="preserve"> of the </w:t>
            </w:r>
            <w:r w:rsidR="006F183D" w:rsidRPr="006B0BDD">
              <w:rPr>
                <w:rFonts w:eastAsia="Times New Roman" w:cs="Times New Roman"/>
                <w:i/>
                <w:iCs/>
                <w:color w:val="000000"/>
                <w:szCs w:val="24"/>
                <w:lang w:eastAsia="mn-MN"/>
              </w:rPr>
              <w:t>“</w:t>
            </w:r>
            <w:r w:rsidR="006F183D">
              <w:rPr>
                <w:rFonts w:eastAsia="Times New Roman" w:cs="Times New Roman"/>
                <w:i/>
                <w:iCs/>
                <w:color w:val="000000"/>
                <w:szCs w:val="24"/>
                <w:lang w:val="en-US" w:eastAsia="mn-MN"/>
              </w:rPr>
              <w:t>Mongolian Stock Exchange</w:t>
            </w:r>
            <w:r w:rsidR="006F183D" w:rsidRPr="006B0BDD">
              <w:rPr>
                <w:rFonts w:eastAsia="Times New Roman" w:cs="Times New Roman"/>
                <w:i/>
                <w:iCs/>
                <w:color w:val="000000"/>
                <w:szCs w:val="24"/>
                <w:lang w:eastAsia="mn-MN"/>
              </w:rPr>
              <w:t xml:space="preserve">” </w:t>
            </w:r>
            <w:r w:rsidR="006F183D">
              <w:rPr>
                <w:rFonts w:eastAsia="Times New Roman" w:cs="Times New Roman"/>
                <w:i/>
                <w:iCs/>
                <w:color w:val="000000"/>
                <w:szCs w:val="24"/>
                <w:lang w:val="en-US" w:eastAsia="mn-MN"/>
              </w:rPr>
              <w:t>JSC</w:t>
            </w:r>
          </w:p>
          <w:p w14:paraId="643E272C" w14:textId="05237787" w:rsidR="00A67565" w:rsidRPr="006B0BDD" w:rsidRDefault="00F238DC" w:rsidP="00A67565">
            <w:pPr>
              <w:spacing w:after="0" w:line="240" w:lineRule="auto"/>
              <w:rPr>
                <w:rFonts w:eastAsia="Times New Roman" w:cs="Times New Roman"/>
                <w:i/>
                <w:iCs/>
                <w:color w:val="000000"/>
                <w:szCs w:val="24"/>
                <w:lang w:eastAsia="mn-MN"/>
              </w:rPr>
            </w:pPr>
            <w:r>
              <w:rPr>
                <w:rFonts w:eastAsia="Times New Roman" w:cs="Times New Roman"/>
                <w:i/>
                <w:iCs/>
                <w:color w:val="000000"/>
                <w:szCs w:val="24"/>
                <w:lang w:val="en-US" w:eastAsia="mn-MN"/>
              </w:rPr>
              <w:t>Signature</w:t>
            </w:r>
            <w:r w:rsidR="00A67565" w:rsidRPr="006B0BDD">
              <w:rPr>
                <w:rFonts w:eastAsia="Times New Roman" w:cs="Times New Roman"/>
                <w:i/>
                <w:iCs/>
                <w:color w:val="000000"/>
                <w:szCs w:val="24"/>
                <w:lang w:eastAsia="mn-MN"/>
              </w:rPr>
              <w:t>: …………………………</w:t>
            </w:r>
            <w:proofErr w:type="gramStart"/>
            <w:r w:rsidR="00A67565" w:rsidRPr="006B0BDD">
              <w:rPr>
                <w:rFonts w:eastAsia="Times New Roman" w:cs="Times New Roman"/>
                <w:i/>
                <w:iCs/>
                <w:color w:val="000000"/>
                <w:szCs w:val="24"/>
                <w:lang w:eastAsia="mn-MN"/>
              </w:rPr>
              <w:t>…..</w:t>
            </w:r>
            <w:proofErr w:type="gramEnd"/>
          </w:p>
          <w:p w14:paraId="0122F94B" w14:textId="77777777" w:rsidR="00A67565" w:rsidRPr="006B0BDD" w:rsidRDefault="00A67565" w:rsidP="008B1D5B">
            <w:pPr>
              <w:spacing w:after="0" w:line="240" w:lineRule="auto"/>
              <w:rPr>
                <w:rFonts w:eastAsia="Times New Roman" w:cs="Times New Roman"/>
                <w:i/>
                <w:iCs/>
                <w:color w:val="000000"/>
                <w:szCs w:val="24"/>
                <w:lang w:eastAsia="mn-MN"/>
              </w:rPr>
            </w:pPr>
          </w:p>
        </w:tc>
      </w:tr>
    </w:tbl>
    <w:p w14:paraId="54485860" w14:textId="2612DA6C" w:rsidR="008B1D5B" w:rsidRPr="006B0BDD" w:rsidRDefault="008B1D5B">
      <w:pPr>
        <w:rPr>
          <w:rFonts w:cs="Times New Roman"/>
          <w:i/>
          <w:iCs/>
          <w:szCs w:val="24"/>
        </w:rPr>
      </w:pPr>
    </w:p>
    <w:p w14:paraId="3C523B13" w14:textId="38DA2F2F" w:rsidR="00811078" w:rsidRPr="006B0BDD" w:rsidRDefault="00811078">
      <w:pPr>
        <w:rPr>
          <w:rFonts w:cs="Times New Roman"/>
          <w:i/>
          <w:iCs/>
          <w:szCs w:val="24"/>
        </w:rPr>
      </w:pPr>
    </w:p>
    <w:p w14:paraId="2550E76E" w14:textId="77777777" w:rsidR="00811078" w:rsidRPr="006B0BDD" w:rsidRDefault="00811078">
      <w:pPr>
        <w:rPr>
          <w:rFonts w:cs="Times New Roman"/>
          <w:i/>
          <w:iCs/>
          <w:szCs w:val="24"/>
        </w:rPr>
      </w:pPr>
    </w:p>
    <w:sectPr w:rsidR="00811078" w:rsidRPr="006B0BDD" w:rsidSect="007F27AC">
      <w:pgSz w:w="11906" w:h="16838" w:code="9"/>
      <w:pgMar w:top="1440" w:right="1646"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7A29"/>
    <w:multiLevelType w:val="hybridMultilevel"/>
    <w:tmpl w:val="6F7A296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2D3E5D9C"/>
    <w:multiLevelType w:val="hybridMultilevel"/>
    <w:tmpl w:val="EEEA33D2"/>
    <w:lvl w:ilvl="0" w:tplc="47783436">
      <w:start w:val="1"/>
      <w:numFmt w:val="bullet"/>
      <w:lvlText w:val=""/>
      <w:lvlJc w:val="left"/>
      <w:pPr>
        <w:ind w:left="720" w:hanging="360"/>
      </w:pPr>
      <w:rPr>
        <w:rFonts w:ascii="Wingdings" w:hAnsi="Wingdings" w:hint="default"/>
        <w:color w:val="0041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18835">
    <w:abstractNumId w:val="0"/>
  </w:num>
  <w:num w:numId="2" w16cid:durableId="28686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7B"/>
    <w:rsid w:val="00003FD0"/>
    <w:rsid w:val="00023EC7"/>
    <w:rsid w:val="0002525C"/>
    <w:rsid w:val="000777FB"/>
    <w:rsid w:val="000830D7"/>
    <w:rsid w:val="00083BD7"/>
    <w:rsid w:val="000A54FA"/>
    <w:rsid w:val="000E6368"/>
    <w:rsid w:val="000F26FA"/>
    <w:rsid w:val="00106B26"/>
    <w:rsid w:val="00117C92"/>
    <w:rsid w:val="00144CC4"/>
    <w:rsid w:val="001531B2"/>
    <w:rsid w:val="00162367"/>
    <w:rsid w:val="001844E5"/>
    <w:rsid w:val="001A109F"/>
    <w:rsid w:val="001A6E86"/>
    <w:rsid w:val="001B1B6B"/>
    <w:rsid w:val="001D4BDA"/>
    <w:rsid w:val="001E1E3D"/>
    <w:rsid w:val="001F1F8D"/>
    <w:rsid w:val="001F55DC"/>
    <w:rsid w:val="001F6B7C"/>
    <w:rsid w:val="001F6FD3"/>
    <w:rsid w:val="00236DFD"/>
    <w:rsid w:val="00267FE6"/>
    <w:rsid w:val="00276248"/>
    <w:rsid w:val="002861E4"/>
    <w:rsid w:val="002C708C"/>
    <w:rsid w:val="002E29CC"/>
    <w:rsid w:val="002E4882"/>
    <w:rsid w:val="0031356F"/>
    <w:rsid w:val="00367F84"/>
    <w:rsid w:val="0037000A"/>
    <w:rsid w:val="00375227"/>
    <w:rsid w:val="00390729"/>
    <w:rsid w:val="00391EAB"/>
    <w:rsid w:val="003D24E5"/>
    <w:rsid w:val="003D52FF"/>
    <w:rsid w:val="003F371D"/>
    <w:rsid w:val="00431338"/>
    <w:rsid w:val="00433B17"/>
    <w:rsid w:val="00440CB9"/>
    <w:rsid w:val="00446FFE"/>
    <w:rsid w:val="00477F96"/>
    <w:rsid w:val="00493228"/>
    <w:rsid w:val="00496339"/>
    <w:rsid w:val="004A467B"/>
    <w:rsid w:val="004B4D36"/>
    <w:rsid w:val="004E0B91"/>
    <w:rsid w:val="004E2A2D"/>
    <w:rsid w:val="0050253B"/>
    <w:rsid w:val="00503A0D"/>
    <w:rsid w:val="00525235"/>
    <w:rsid w:val="00540AC3"/>
    <w:rsid w:val="00572585"/>
    <w:rsid w:val="005A40D1"/>
    <w:rsid w:val="005E58DA"/>
    <w:rsid w:val="005E79B6"/>
    <w:rsid w:val="005F3A6A"/>
    <w:rsid w:val="00632E13"/>
    <w:rsid w:val="006471D6"/>
    <w:rsid w:val="006571FD"/>
    <w:rsid w:val="00686530"/>
    <w:rsid w:val="006A3DAC"/>
    <w:rsid w:val="006A3E2C"/>
    <w:rsid w:val="006A5462"/>
    <w:rsid w:val="006B0BDD"/>
    <w:rsid w:val="006C0DD9"/>
    <w:rsid w:val="006C2125"/>
    <w:rsid w:val="006C6C13"/>
    <w:rsid w:val="006E36AD"/>
    <w:rsid w:val="006E6679"/>
    <w:rsid w:val="006F183D"/>
    <w:rsid w:val="006F31BB"/>
    <w:rsid w:val="006F6D90"/>
    <w:rsid w:val="0071144A"/>
    <w:rsid w:val="00720EEE"/>
    <w:rsid w:val="0072699C"/>
    <w:rsid w:val="00746644"/>
    <w:rsid w:val="00746BA2"/>
    <w:rsid w:val="007479F9"/>
    <w:rsid w:val="00763078"/>
    <w:rsid w:val="007B1D5F"/>
    <w:rsid w:val="007C70FF"/>
    <w:rsid w:val="007C74A7"/>
    <w:rsid w:val="007E661B"/>
    <w:rsid w:val="007F27AC"/>
    <w:rsid w:val="00807E8C"/>
    <w:rsid w:val="00811078"/>
    <w:rsid w:val="00815232"/>
    <w:rsid w:val="00815A6A"/>
    <w:rsid w:val="008202ED"/>
    <w:rsid w:val="00827A23"/>
    <w:rsid w:val="008418F4"/>
    <w:rsid w:val="008611F0"/>
    <w:rsid w:val="00861663"/>
    <w:rsid w:val="00885553"/>
    <w:rsid w:val="008B1D5B"/>
    <w:rsid w:val="008B582F"/>
    <w:rsid w:val="008E0298"/>
    <w:rsid w:val="008F3318"/>
    <w:rsid w:val="008F38D2"/>
    <w:rsid w:val="00923CCE"/>
    <w:rsid w:val="009306A2"/>
    <w:rsid w:val="009740C5"/>
    <w:rsid w:val="0098657E"/>
    <w:rsid w:val="00A1499E"/>
    <w:rsid w:val="00A16373"/>
    <w:rsid w:val="00A26BDE"/>
    <w:rsid w:val="00A66D4E"/>
    <w:rsid w:val="00A67565"/>
    <w:rsid w:val="00A76370"/>
    <w:rsid w:val="00AE1756"/>
    <w:rsid w:val="00B31C23"/>
    <w:rsid w:val="00B35ADD"/>
    <w:rsid w:val="00B4055E"/>
    <w:rsid w:val="00B729C9"/>
    <w:rsid w:val="00B84099"/>
    <w:rsid w:val="00BA6C7A"/>
    <w:rsid w:val="00BC6AE5"/>
    <w:rsid w:val="00BF53B8"/>
    <w:rsid w:val="00C023E6"/>
    <w:rsid w:val="00C0302F"/>
    <w:rsid w:val="00C07114"/>
    <w:rsid w:val="00C16E68"/>
    <w:rsid w:val="00C4752A"/>
    <w:rsid w:val="00C85813"/>
    <w:rsid w:val="00CB669A"/>
    <w:rsid w:val="00CC720D"/>
    <w:rsid w:val="00CC74CD"/>
    <w:rsid w:val="00D0035B"/>
    <w:rsid w:val="00D2651F"/>
    <w:rsid w:val="00D420D9"/>
    <w:rsid w:val="00D527C3"/>
    <w:rsid w:val="00D52C4E"/>
    <w:rsid w:val="00D536AA"/>
    <w:rsid w:val="00D573E2"/>
    <w:rsid w:val="00D66B4E"/>
    <w:rsid w:val="00DB1F4F"/>
    <w:rsid w:val="00DD46A1"/>
    <w:rsid w:val="00DF7020"/>
    <w:rsid w:val="00E30896"/>
    <w:rsid w:val="00E5111D"/>
    <w:rsid w:val="00E60E9B"/>
    <w:rsid w:val="00E7721C"/>
    <w:rsid w:val="00E773ED"/>
    <w:rsid w:val="00EE516D"/>
    <w:rsid w:val="00F0414A"/>
    <w:rsid w:val="00F16C30"/>
    <w:rsid w:val="00F238DC"/>
    <w:rsid w:val="00F27745"/>
    <w:rsid w:val="00F73CBA"/>
    <w:rsid w:val="00F87BEF"/>
    <w:rsid w:val="00F92B2D"/>
    <w:rsid w:val="00F94977"/>
    <w:rsid w:val="00FA3976"/>
    <w:rsid w:val="00FB4AA4"/>
    <w:rsid w:val="00FE0D07"/>
    <w:rsid w:val="00FE37FB"/>
    <w:rsid w:val="00FE7184"/>
    <w:rsid w:val="00FE7D49"/>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1B660"/>
  <w15:chartTrackingRefBased/>
  <w15:docId w15:val="{73F0588E-7D7C-4348-AE43-DDC82845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5E58DA"/>
    <w:pPr>
      <w:keepNext/>
      <w:keepLines/>
      <w:spacing w:after="89" w:line="265" w:lineRule="auto"/>
      <w:ind w:left="10" w:hanging="10"/>
      <w:outlineLvl w:val="2"/>
    </w:pPr>
    <w:rPr>
      <w:rFonts w:ascii="Calibri" w:eastAsia="Calibri" w:hAnsi="Calibri" w:cs="Calibri"/>
      <w:b/>
      <w:color w:val="343433"/>
      <w:sz w:val="16"/>
      <w:lang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29C9"/>
    <w:rPr>
      <w:b/>
      <w:bCs/>
    </w:rPr>
  </w:style>
  <w:style w:type="character" w:customStyle="1" w:styleId="Heading3Char">
    <w:name w:val="Heading 3 Char"/>
    <w:basedOn w:val="DefaultParagraphFont"/>
    <w:link w:val="Heading3"/>
    <w:uiPriority w:val="9"/>
    <w:rsid w:val="005E58DA"/>
    <w:rPr>
      <w:rFonts w:ascii="Calibri" w:eastAsia="Calibri" w:hAnsi="Calibri" w:cs="Calibri"/>
      <w:b/>
      <w:color w:val="343433"/>
      <w:sz w:val="16"/>
      <w:lang w:eastAsia="mn-MN"/>
    </w:rPr>
  </w:style>
  <w:style w:type="paragraph" w:styleId="ListParagraph">
    <w:name w:val="List Paragraph"/>
    <w:basedOn w:val="Normal"/>
    <w:uiPriority w:val="34"/>
    <w:qFormat/>
    <w:rsid w:val="005E58DA"/>
    <w:pPr>
      <w:ind w:left="720"/>
      <w:contextualSpacing/>
    </w:pPr>
  </w:style>
  <w:style w:type="paragraph" w:customStyle="1" w:styleId="a">
    <w:name w:val="Текст"/>
    <w:basedOn w:val="Normal"/>
    <w:link w:val="Char"/>
    <w:qFormat/>
    <w:rsid w:val="00A66D4E"/>
    <w:pPr>
      <w:spacing w:after="240" w:line="276" w:lineRule="auto"/>
      <w:jc w:val="both"/>
    </w:pPr>
    <w:rPr>
      <w:rFonts w:ascii="Cambria" w:eastAsia="Arial" w:hAnsi="Cambria" w:cs="Times New Roman"/>
      <w:color w:val="000000" w:themeColor="text1"/>
      <w:szCs w:val="24"/>
    </w:rPr>
  </w:style>
  <w:style w:type="character" w:customStyle="1" w:styleId="Char">
    <w:name w:val="Текст Char"/>
    <w:basedOn w:val="DefaultParagraphFont"/>
    <w:link w:val="a"/>
    <w:rsid w:val="00A66D4E"/>
    <w:rPr>
      <w:rFonts w:ascii="Cambria" w:eastAsia="Arial" w:hAnsi="Cambria" w:cs="Times New Roman"/>
      <w:color w:val="000000" w:themeColor="text1"/>
      <w:szCs w:val="24"/>
    </w:rPr>
  </w:style>
  <w:style w:type="table" w:customStyle="1" w:styleId="Engiin">
    <w:name w:val="Engiin"/>
    <w:basedOn w:val="TableNormal"/>
    <w:uiPriority w:val="99"/>
    <w:rsid w:val="00A66D4E"/>
    <w:pPr>
      <w:spacing w:after="0" w:line="120" w:lineRule="auto"/>
      <w:jc w:val="right"/>
    </w:pPr>
    <w:rPr>
      <w:rFonts w:ascii="Cambria" w:hAnsi="Cambria"/>
      <w:sz w:val="18"/>
      <w:lang w:val="en-US"/>
    </w:rPr>
    <w:tblPr>
      <w:tblStyleRowBandSize w:val="1"/>
      <w:tblStyleColBandSize w:val="1"/>
      <w:tblBorders>
        <w:bottom w:val="single" w:sz="2" w:space="0" w:color="007BCB"/>
        <w:insideH w:val="single" w:sz="2" w:space="0" w:color="007BCB"/>
      </w:tblBorders>
    </w:tblPr>
    <w:tcPr>
      <w:shd w:val="clear" w:color="auto" w:fill="FFFFFF" w:themeFill="background1"/>
      <w:vAlign w:val="center"/>
    </w:tcPr>
    <w:tblStylePr w:type="firstRow">
      <w:pPr>
        <w:jc w:val="right"/>
      </w:pPr>
      <w:rPr>
        <w:rFonts w:ascii="Cambria" w:hAnsi="Cambria"/>
        <w:b/>
        <w:color w:val="004187"/>
        <w:sz w:val="18"/>
      </w:rPr>
      <w:tblPr/>
      <w:tcPr>
        <w:tcBorders>
          <w:top w:val="nil"/>
          <w:left w:val="nil"/>
          <w:bottom w:val="single" w:sz="4" w:space="0" w:color="auto"/>
          <w:right w:val="nil"/>
          <w:insideH w:val="nil"/>
          <w:insideV w:val="nil"/>
          <w:tl2br w:val="nil"/>
          <w:tr2bl w:val="nil"/>
        </w:tcBorders>
      </w:tcPr>
    </w:tblStylePr>
    <w:tblStylePr w:type="lastRow">
      <w:rPr>
        <w:rFonts w:ascii="Cambria" w:hAnsi="Cambria"/>
        <w:b/>
        <w:sz w:val="18"/>
      </w:rPr>
    </w:tblStylePr>
    <w:tblStylePr w:type="firstCol">
      <w:pPr>
        <w:jc w:val="left"/>
      </w:pPr>
      <w:rPr>
        <w:rFonts w:ascii="Cambria" w:hAnsi="Cambria"/>
        <w:b/>
        <w:sz w:val="18"/>
      </w:rPr>
    </w:tblStylePr>
    <w:tblStylePr w:type="lastCol">
      <w:rPr>
        <w:rFonts w:ascii="Cambria" w:hAnsi="Cambria"/>
        <w:sz w:val="18"/>
      </w:rPr>
    </w:tblStylePr>
    <w:tblStylePr w:type="band1Horz">
      <w:pPr>
        <w:jc w:val="right"/>
      </w:pPr>
    </w:tblStylePr>
    <w:tblStylePr w:type="band2Horz">
      <w:pPr>
        <w:jc w:val="right"/>
      </w:pPr>
    </w:tblStylePr>
  </w:style>
  <w:style w:type="paragraph" w:styleId="BalloonText">
    <w:name w:val="Balloon Text"/>
    <w:basedOn w:val="Normal"/>
    <w:link w:val="BalloonTextChar"/>
    <w:uiPriority w:val="99"/>
    <w:semiHidden/>
    <w:unhideWhenUsed/>
    <w:rsid w:val="001A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9012">
      <w:bodyDiv w:val="1"/>
      <w:marLeft w:val="0"/>
      <w:marRight w:val="0"/>
      <w:marTop w:val="0"/>
      <w:marBottom w:val="0"/>
      <w:divBdr>
        <w:top w:val="none" w:sz="0" w:space="0" w:color="auto"/>
        <w:left w:val="none" w:sz="0" w:space="0" w:color="auto"/>
        <w:bottom w:val="none" w:sz="0" w:space="0" w:color="auto"/>
        <w:right w:val="none" w:sz="0" w:space="0" w:color="auto"/>
      </w:divBdr>
    </w:div>
    <w:div w:id="188297590">
      <w:bodyDiv w:val="1"/>
      <w:marLeft w:val="0"/>
      <w:marRight w:val="0"/>
      <w:marTop w:val="0"/>
      <w:marBottom w:val="0"/>
      <w:divBdr>
        <w:top w:val="none" w:sz="0" w:space="0" w:color="auto"/>
        <w:left w:val="none" w:sz="0" w:space="0" w:color="auto"/>
        <w:bottom w:val="none" w:sz="0" w:space="0" w:color="auto"/>
        <w:right w:val="none" w:sz="0" w:space="0" w:color="auto"/>
      </w:divBdr>
    </w:div>
    <w:div w:id="203956082">
      <w:bodyDiv w:val="1"/>
      <w:marLeft w:val="0"/>
      <w:marRight w:val="0"/>
      <w:marTop w:val="0"/>
      <w:marBottom w:val="0"/>
      <w:divBdr>
        <w:top w:val="none" w:sz="0" w:space="0" w:color="auto"/>
        <w:left w:val="none" w:sz="0" w:space="0" w:color="auto"/>
        <w:bottom w:val="none" w:sz="0" w:space="0" w:color="auto"/>
        <w:right w:val="none" w:sz="0" w:space="0" w:color="auto"/>
      </w:divBdr>
    </w:div>
    <w:div w:id="403994211">
      <w:bodyDiv w:val="1"/>
      <w:marLeft w:val="0"/>
      <w:marRight w:val="0"/>
      <w:marTop w:val="0"/>
      <w:marBottom w:val="0"/>
      <w:divBdr>
        <w:top w:val="none" w:sz="0" w:space="0" w:color="auto"/>
        <w:left w:val="none" w:sz="0" w:space="0" w:color="auto"/>
        <w:bottom w:val="none" w:sz="0" w:space="0" w:color="auto"/>
        <w:right w:val="none" w:sz="0" w:space="0" w:color="auto"/>
      </w:divBdr>
    </w:div>
    <w:div w:id="504171977">
      <w:bodyDiv w:val="1"/>
      <w:marLeft w:val="0"/>
      <w:marRight w:val="0"/>
      <w:marTop w:val="0"/>
      <w:marBottom w:val="0"/>
      <w:divBdr>
        <w:top w:val="none" w:sz="0" w:space="0" w:color="auto"/>
        <w:left w:val="none" w:sz="0" w:space="0" w:color="auto"/>
        <w:bottom w:val="none" w:sz="0" w:space="0" w:color="auto"/>
        <w:right w:val="none" w:sz="0" w:space="0" w:color="auto"/>
      </w:divBdr>
    </w:div>
    <w:div w:id="505635351">
      <w:bodyDiv w:val="1"/>
      <w:marLeft w:val="0"/>
      <w:marRight w:val="0"/>
      <w:marTop w:val="0"/>
      <w:marBottom w:val="0"/>
      <w:divBdr>
        <w:top w:val="none" w:sz="0" w:space="0" w:color="auto"/>
        <w:left w:val="none" w:sz="0" w:space="0" w:color="auto"/>
        <w:bottom w:val="none" w:sz="0" w:space="0" w:color="auto"/>
        <w:right w:val="none" w:sz="0" w:space="0" w:color="auto"/>
      </w:divBdr>
    </w:div>
    <w:div w:id="589390341">
      <w:bodyDiv w:val="1"/>
      <w:marLeft w:val="0"/>
      <w:marRight w:val="0"/>
      <w:marTop w:val="0"/>
      <w:marBottom w:val="0"/>
      <w:divBdr>
        <w:top w:val="none" w:sz="0" w:space="0" w:color="auto"/>
        <w:left w:val="none" w:sz="0" w:space="0" w:color="auto"/>
        <w:bottom w:val="none" w:sz="0" w:space="0" w:color="auto"/>
        <w:right w:val="none" w:sz="0" w:space="0" w:color="auto"/>
      </w:divBdr>
    </w:div>
    <w:div w:id="645820191">
      <w:bodyDiv w:val="1"/>
      <w:marLeft w:val="0"/>
      <w:marRight w:val="0"/>
      <w:marTop w:val="0"/>
      <w:marBottom w:val="0"/>
      <w:divBdr>
        <w:top w:val="none" w:sz="0" w:space="0" w:color="auto"/>
        <w:left w:val="none" w:sz="0" w:space="0" w:color="auto"/>
        <w:bottom w:val="none" w:sz="0" w:space="0" w:color="auto"/>
        <w:right w:val="none" w:sz="0" w:space="0" w:color="auto"/>
      </w:divBdr>
    </w:div>
    <w:div w:id="684481317">
      <w:bodyDiv w:val="1"/>
      <w:marLeft w:val="0"/>
      <w:marRight w:val="0"/>
      <w:marTop w:val="0"/>
      <w:marBottom w:val="0"/>
      <w:divBdr>
        <w:top w:val="none" w:sz="0" w:space="0" w:color="auto"/>
        <w:left w:val="none" w:sz="0" w:space="0" w:color="auto"/>
        <w:bottom w:val="none" w:sz="0" w:space="0" w:color="auto"/>
        <w:right w:val="none" w:sz="0" w:space="0" w:color="auto"/>
      </w:divBdr>
    </w:div>
    <w:div w:id="695693099">
      <w:bodyDiv w:val="1"/>
      <w:marLeft w:val="0"/>
      <w:marRight w:val="0"/>
      <w:marTop w:val="0"/>
      <w:marBottom w:val="0"/>
      <w:divBdr>
        <w:top w:val="none" w:sz="0" w:space="0" w:color="auto"/>
        <w:left w:val="none" w:sz="0" w:space="0" w:color="auto"/>
        <w:bottom w:val="none" w:sz="0" w:space="0" w:color="auto"/>
        <w:right w:val="none" w:sz="0" w:space="0" w:color="auto"/>
      </w:divBdr>
    </w:div>
    <w:div w:id="715618049">
      <w:bodyDiv w:val="1"/>
      <w:marLeft w:val="0"/>
      <w:marRight w:val="0"/>
      <w:marTop w:val="0"/>
      <w:marBottom w:val="0"/>
      <w:divBdr>
        <w:top w:val="none" w:sz="0" w:space="0" w:color="auto"/>
        <w:left w:val="none" w:sz="0" w:space="0" w:color="auto"/>
        <w:bottom w:val="none" w:sz="0" w:space="0" w:color="auto"/>
        <w:right w:val="none" w:sz="0" w:space="0" w:color="auto"/>
      </w:divBdr>
    </w:div>
    <w:div w:id="753819118">
      <w:bodyDiv w:val="1"/>
      <w:marLeft w:val="0"/>
      <w:marRight w:val="0"/>
      <w:marTop w:val="0"/>
      <w:marBottom w:val="0"/>
      <w:divBdr>
        <w:top w:val="none" w:sz="0" w:space="0" w:color="auto"/>
        <w:left w:val="none" w:sz="0" w:space="0" w:color="auto"/>
        <w:bottom w:val="none" w:sz="0" w:space="0" w:color="auto"/>
        <w:right w:val="none" w:sz="0" w:space="0" w:color="auto"/>
      </w:divBdr>
    </w:div>
    <w:div w:id="777985713">
      <w:bodyDiv w:val="1"/>
      <w:marLeft w:val="0"/>
      <w:marRight w:val="0"/>
      <w:marTop w:val="0"/>
      <w:marBottom w:val="0"/>
      <w:divBdr>
        <w:top w:val="none" w:sz="0" w:space="0" w:color="auto"/>
        <w:left w:val="none" w:sz="0" w:space="0" w:color="auto"/>
        <w:bottom w:val="none" w:sz="0" w:space="0" w:color="auto"/>
        <w:right w:val="none" w:sz="0" w:space="0" w:color="auto"/>
      </w:divBdr>
    </w:div>
    <w:div w:id="822739055">
      <w:bodyDiv w:val="1"/>
      <w:marLeft w:val="0"/>
      <w:marRight w:val="0"/>
      <w:marTop w:val="0"/>
      <w:marBottom w:val="0"/>
      <w:divBdr>
        <w:top w:val="none" w:sz="0" w:space="0" w:color="auto"/>
        <w:left w:val="none" w:sz="0" w:space="0" w:color="auto"/>
        <w:bottom w:val="none" w:sz="0" w:space="0" w:color="auto"/>
        <w:right w:val="none" w:sz="0" w:space="0" w:color="auto"/>
      </w:divBdr>
    </w:div>
    <w:div w:id="828251827">
      <w:bodyDiv w:val="1"/>
      <w:marLeft w:val="0"/>
      <w:marRight w:val="0"/>
      <w:marTop w:val="0"/>
      <w:marBottom w:val="0"/>
      <w:divBdr>
        <w:top w:val="none" w:sz="0" w:space="0" w:color="auto"/>
        <w:left w:val="none" w:sz="0" w:space="0" w:color="auto"/>
        <w:bottom w:val="none" w:sz="0" w:space="0" w:color="auto"/>
        <w:right w:val="none" w:sz="0" w:space="0" w:color="auto"/>
      </w:divBdr>
    </w:div>
    <w:div w:id="912659759">
      <w:bodyDiv w:val="1"/>
      <w:marLeft w:val="0"/>
      <w:marRight w:val="0"/>
      <w:marTop w:val="0"/>
      <w:marBottom w:val="0"/>
      <w:divBdr>
        <w:top w:val="none" w:sz="0" w:space="0" w:color="auto"/>
        <w:left w:val="none" w:sz="0" w:space="0" w:color="auto"/>
        <w:bottom w:val="none" w:sz="0" w:space="0" w:color="auto"/>
        <w:right w:val="none" w:sz="0" w:space="0" w:color="auto"/>
      </w:divBdr>
    </w:div>
    <w:div w:id="926840667">
      <w:bodyDiv w:val="1"/>
      <w:marLeft w:val="0"/>
      <w:marRight w:val="0"/>
      <w:marTop w:val="0"/>
      <w:marBottom w:val="0"/>
      <w:divBdr>
        <w:top w:val="none" w:sz="0" w:space="0" w:color="auto"/>
        <w:left w:val="none" w:sz="0" w:space="0" w:color="auto"/>
        <w:bottom w:val="none" w:sz="0" w:space="0" w:color="auto"/>
        <w:right w:val="none" w:sz="0" w:space="0" w:color="auto"/>
      </w:divBdr>
    </w:div>
    <w:div w:id="935096145">
      <w:bodyDiv w:val="1"/>
      <w:marLeft w:val="0"/>
      <w:marRight w:val="0"/>
      <w:marTop w:val="0"/>
      <w:marBottom w:val="0"/>
      <w:divBdr>
        <w:top w:val="none" w:sz="0" w:space="0" w:color="auto"/>
        <w:left w:val="none" w:sz="0" w:space="0" w:color="auto"/>
        <w:bottom w:val="none" w:sz="0" w:space="0" w:color="auto"/>
        <w:right w:val="none" w:sz="0" w:space="0" w:color="auto"/>
      </w:divBdr>
    </w:div>
    <w:div w:id="947270790">
      <w:bodyDiv w:val="1"/>
      <w:marLeft w:val="0"/>
      <w:marRight w:val="0"/>
      <w:marTop w:val="0"/>
      <w:marBottom w:val="0"/>
      <w:divBdr>
        <w:top w:val="none" w:sz="0" w:space="0" w:color="auto"/>
        <w:left w:val="none" w:sz="0" w:space="0" w:color="auto"/>
        <w:bottom w:val="none" w:sz="0" w:space="0" w:color="auto"/>
        <w:right w:val="none" w:sz="0" w:space="0" w:color="auto"/>
      </w:divBdr>
    </w:div>
    <w:div w:id="957877107">
      <w:bodyDiv w:val="1"/>
      <w:marLeft w:val="0"/>
      <w:marRight w:val="0"/>
      <w:marTop w:val="0"/>
      <w:marBottom w:val="0"/>
      <w:divBdr>
        <w:top w:val="none" w:sz="0" w:space="0" w:color="auto"/>
        <w:left w:val="none" w:sz="0" w:space="0" w:color="auto"/>
        <w:bottom w:val="none" w:sz="0" w:space="0" w:color="auto"/>
        <w:right w:val="none" w:sz="0" w:space="0" w:color="auto"/>
      </w:divBdr>
    </w:div>
    <w:div w:id="1055616287">
      <w:bodyDiv w:val="1"/>
      <w:marLeft w:val="0"/>
      <w:marRight w:val="0"/>
      <w:marTop w:val="0"/>
      <w:marBottom w:val="0"/>
      <w:divBdr>
        <w:top w:val="none" w:sz="0" w:space="0" w:color="auto"/>
        <w:left w:val="none" w:sz="0" w:space="0" w:color="auto"/>
        <w:bottom w:val="none" w:sz="0" w:space="0" w:color="auto"/>
        <w:right w:val="none" w:sz="0" w:space="0" w:color="auto"/>
      </w:divBdr>
    </w:div>
    <w:div w:id="1094715556">
      <w:bodyDiv w:val="1"/>
      <w:marLeft w:val="0"/>
      <w:marRight w:val="0"/>
      <w:marTop w:val="0"/>
      <w:marBottom w:val="0"/>
      <w:divBdr>
        <w:top w:val="none" w:sz="0" w:space="0" w:color="auto"/>
        <w:left w:val="none" w:sz="0" w:space="0" w:color="auto"/>
        <w:bottom w:val="none" w:sz="0" w:space="0" w:color="auto"/>
        <w:right w:val="none" w:sz="0" w:space="0" w:color="auto"/>
      </w:divBdr>
    </w:div>
    <w:div w:id="1112435466">
      <w:bodyDiv w:val="1"/>
      <w:marLeft w:val="0"/>
      <w:marRight w:val="0"/>
      <w:marTop w:val="0"/>
      <w:marBottom w:val="0"/>
      <w:divBdr>
        <w:top w:val="none" w:sz="0" w:space="0" w:color="auto"/>
        <w:left w:val="none" w:sz="0" w:space="0" w:color="auto"/>
        <w:bottom w:val="none" w:sz="0" w:space="0" w:color="auto"/>
        <w:right w:val="none" w:sz="0" w:space="0" w:color="auto"/>
      </w:divBdr>
    </w:div>
    <w:div w:id="1145045422">
      <w:bodyDiv w:val="1"/>
      <w:marLeft w:val="0"/>
      <w:marRight w:val="0"/>
      <w:marTop w:val="0"/>
      <w:marBottom w:val="0"/>
      <w:divBdr>
        <w:top w:val="none" w:sz="0" w:space="0" w:color="auto"/>
        <w:left w:val="none" w:sz="0" w:space="0" w:color="auto"/>
        <w:bottom w:val="none" w:sz="0" w:space="0" w:color="auto"/>
        <w:right w:val="none" w:sz="0" w:space="0" w:color="auto"/>
      </w:divBdr>
    </w:div>
    <w:div w:id="1206212620">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293708595">
      <w:bodyDiv w:val="1"/>
      <w:marLeft w:val="0"/>
      <w:marRight w:val="0"/>
      <w:marTop w:val="0"/>
      <w:marBottom w:val="0"/>
      <w:divBdr>
        <w:top w:val="none" w:sz="0" w:space="0" w:color="auto"/>
        <w:left w:val="none" w:sz="0" w:space="0" w:color="auto"/>
        <w:bottom w:val="none" w:sz="0" w:space="0" w:color="auto"/>
        <w:right w:val="none" w:sz="0" w:space="0" w:color="auto"/>
      </w:divBdr>
    </w:div>
    <w:div w:id="1325815297">
      <w:bodyDiv w:val="1"/>
      <w:marLeft w:val="0"/>
      <w:marRight w:val="0"/>
      <w:marTop w:val="0"/>
      <w:marBottom w:val="0"/>
      <w:divBdr>
        <w:top w:val="none" w:sz="0" w:space="0" w:color="auto"/>
        <w:left w:val="none" w:sz="0" w:space="0" w:color="auto"/>
        <w:bottom w:val="none" w:sz="0" w:space="0" w:color="auto"/>
        <w:right w:val="none" w:sz="0" w:space="0" w:color="auto"/>
      </w:divBdr>
    </w:div>
    <w:div w:id="1345933907">
      <w:bodyDiv w:val="1"/>
      <w:marLeft w:val="0"/>
      <w:marRight w:val="0"/>
      <w:marTop w:val="0"/>
      <w:marBottom w:val="0"/>
      <w:divBdr>
        <w:top w:val="none" w:sz="0" w:space="0" w:color="auto"/>
        <w:left w:val="none" w:sz="0" w:space="0" w:color="auto"/>
        <w:bottom w:val="none" w:sz="0" w:space="0" w:color="auto"/>
        <w:right w:val="none" w:sz="0" w:space="0" w:color="auto"/>
      </w:divBdr>
    </w:div>
    <w:div w:id="1494485868">
      <w:bodyDiv w:val="1"/>
      <w:marLeft w:val="0"/>
      <w:marRight w:val="0"/>
      <w:marTop w:val="0"/>
      <w:marBottom w:val="0"/>
      <w:divBdr>
        <w:top w:val="none" w:sz="0" w:space="0" w:color="auto"/>
        <w:left w:val="none" w:sz="0" w:space="0" w:color="auto"/>
        <w:bottom w:val="none" w:sz="0" w:space="0" w:color="auto"/>
        <w:right w:val="none" w:sz="0" w:space="0" w:color="auto"/>
      </w:divBdr>
    </w:div>
    <w:div w:id="1536963042">
      <w:bodyDiv w:val="1"/>
      <w:marLeft w:val="0"/>
      <w:marRight w:val="0"/>
      <w:marTop w:val="0"/>
      <w:marBottom w:val="0"/>
      <w:divBdr>
        <w:top w:val="none" w:sz="0" w:space="0" w:color="auto"/>
        <w:left w:val="none" w:sz="0" w:space="0" w:color="auto"/>
        <w:bottom w:val="none" w:sz="0" w:space="0" w:color="auto"/>
        <w:right w:val="none" w:sz="0" w:space="0" w:color="auto"/>
      </w:divBdr>
    </w:div>
    <w:div w:id="1548031886">
      <w:bodyDiv w:val="1"/>
      <w:marLeft w:val="0"/>
      <w:marRight w:val="0"/>
      <w:marTop w:val="0"/>
      <w:marBottom w:val="0"/>
      <w:divBdr>
        <w:top w:val="none" w:sz="0" w:space="0" w:color="auto"/>
        <w:left w:val="none" w:sz="0" w:space="0" w:color="auto"/>
        <w:bottom w:val="none" w:sz="0" w:space="0" w:color="auto"/>
        <w:right w:val="none" w:sz="0" w:space="0" w:color="auto"/>
      </w:divBdr>
    </w:div>
    <w:div w:id="1607494378">
      <w:bodyDiv w:val="1"/>
      <w:marLeft w:val="0"/>
      <w:marRight w:val="0"/>
      <w:marTop w:val="0"/>
      <w:marBottom w:val="0"/>
      <w:divBdr>
        <w:top w:val="none" w:sz="0" w:space="0" w:color="auto"/>
        <w:left w:val="none" w:sz="0" w:space="0" w:color="auto"/>
        <w:bottom w:val="none" w:sz="0" w:space="0" w:color="auto"/>
        <w:right w:val="none" w:sz="0" w:space="0" w:color="auto"/>
      </w:divBdr>
    </w:div>
    <w:div w:id="1640258923">
      <w:bodyDiv w:val="1"/>
      <w:marLeft w:val="0"/>
      <w:marRight w:val="0"/>
      <w:marTop w:val="0"/>
      <w:marBottom w:val="0"/>
      <w:divBdr>
        <w:top w:val="none" w:sz="0" w:space="0" w:color="auto"/>
        <w:left w:val="none" w:sz="0" w:space="0" w:color="auto"/>
        <w:bottom w:val="none" w:sz="0" w:space="0" w:color="auto"/>
        <w:right w:val="none" w:sz="0" w:space="0" w:color="auto"/>
      </w:divBdr>
    </w:div>
    <w:div w:id="1732116554">
      <w:bodyDiv w:val="1"/>
      <w:marLeft w:val="0"/>
      <w:marRight w:val="0"/>
      <w:marTop w:val="0"/>
      <w:marBottom w:val="0"/>
      <w:divBdr>
        <w:top w:val="none" w:sz="0" w:space="0" w:color="auto"/>
        <w:left w:val="none" w:sz="0" w:space="0" w:color="auto"/>
        <w:bottom w:val="none" w:sz="0" w:space="0" w:color="auto"/>
        <w:right w:val="none" w:sz="0" w:space="0" w:color="auto"/>
      </w:divBdr>
    </w:div>
    <w:div w:id="2027556555">
      <w:bodyDiv w:val="1"/>
      <w:marLeft w:val="0"/>
      <w:marRight w:val="0"/>
      <w:marTop w:val="0"/>
      <w:marBottom w:val="0"/>
      <w:divBdr>
        <w:top w:val="none" w:sz="0" w:space="0" w:color="auto"/>
        <w:left w:val="none" w:sz="0" w:space="0" w:color="auto"/>
        <w:bottom w:val="none" w:sz="0" w:space="0" w:color="auto"/>
        <w:right w:val="none" w:sz="0" w:space="0" w:color="auto"/>
      </w:divBdr>
    </w:div>
    <w:div w:id="2053724254">
      <w:bodyDiv w:val="1"/>
      <w:marLeft w:val="0"/>
      <w:marRight w:val="0"/>
      <w:marTop w:val="0"/>
      <w:marBottom w:val="0"/>
      <w:divBdr>
        <w:top w:val="none" w:sz="0" w:space="0" w:color="auto"/>
        <w:left w:val="none" w:sz="0" w:space="0" w:color="auto"/>
        <w:bottom w:val="none" w:sz="0" w:space="0" w:color="auto"/>
        <w:right w:val="none" w:sz="0" w:space="0" w:color="auto"/>
      </w:divBdr>
    </w:div>
    <w:div w:id="21126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B67C-978F-4384-A33F-34C53B7B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8</Pages>
  <Words>2774</Words>
  <Characters>16119</Characters>
  <Application>Microsoft Office Word</Application>
  <DocSecurity>0</DocSecurity>
  <Lines>519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Bilguun Dorjdagwa</cp:lastModifiedBy>
  <cp:revision>69</cp:revision>
  <cp:lastPrinted>2024-05-02T08:17:00Z</cp:lastPrinted>
  <dcterms:created xsi:type="dcterms:W3CDTF">2024-04-29T08:14:00Z</dcterms:created>
  <dcterms:modified xsi:type="dcterms:W3CDTF">2024-05-20T07:57:00Z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f183d06cc2b4b8d2810b8e52f6f225f85c44f6d20d3235be53e264b97985408b</vt:lpwstr>
  </property>
</Properties>
</file>