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7C69B" w14:textId="62F0132C" w:rsidR="005F3A6A" w:rsidRPr="00EB2AD9" w:rsidRDefault="008A6639" w:rsidP="00DA78B7">
      <w:pPr>
        <w:ind w:firstLine="180"/>
        <w:jc w:val="center"/>
        <w:rPr>
          <w:rFonts w:ascii="Arial" w:hAnsi="Arial" w:cs="Arial"/>
          <w:sz w:val="22"/>
        </w:rPr>
      </w:pPr>
      <w:r w:rsidRPr="00EB2AD9">
        <w:rPr>
          <w:rFonts w:ascii="Arial" w:hAnsi="Arial" w:cs="Arial"/>
          <w:sz w:val="22"/>
        </w:rPr>
        <w:t>"MONGOLIA</w:t>
      </w:r>
      <w:r w:rsidRPr="00EB2AD9">
        <w:rPr>
          <w:rFonts w:ascii="Arial" w:hAnsi="Arial" w:cs="Arial"/>
          <w:sz w:val="22"/>
          <w:lang w:val="en-US"/>
        </w:rPr>
        <w:t>N</w:t>
      </w:r>
      <w:r w:rsidRPr="00EB2AD9">
        <w:rPr>
          <w:rFonts w:ascii="Arial" w:hAnsi="Arial" w:cs="Arial"/>
          <w:sz w:val="22"/>
        </w:rPr>
        <w:t xml:space="preserve"> STOCK EXCHANGE" JSC</w:t>
      </w:r>
    </w:p>
    <w:tbl>
      <w:tblPr>
        <w:tblW w:w="10710" w:type="dxa"/>
        <w:tblInd w:w="-635" w:type="dxa"/>
        <w:tblLayout w:type="fixed"/>
        <w:tblLook w:val="04A0" w:firstRow="1" w:lastRow="0" w:firstColumn="1" w:lastColumn="0" w:noHBand="0" w:noVBand="1"/>
      </w:tblPr>
      <w:tblGrid>
        <w:gridCol w:w="810"/>
        <w:gridCol w:w="2160"/>
        <w:gridCol w:w="180"/>
        <w:gridCol w:w="7560"/>
      </w:tblGrid>
      <w:tr w:rsidR="008B1D5B" w:rsidRPr="00EB2AD9" w14:paraId="79DF1E73" w14:textId="77777777" w:rsidTr="00A47432">
        <w:trPr>
          <w:trHeight w:val="316"/>
        </w:trPr>
        <w:tc>
          <w:tcPr>
            <w:tcW w:w="10710" w:type="dxa"/>
            <w:gridSpan w:val="4"/>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hideMark/>
          </w:tcPr>
          <w:p w14:paraId="416925E2" w14:textId="644D055A" w:rsidR="008B1D5B" w:rsidRPr="00EB2AD9" w:rsidRDefault="00383941" w:rsidP="00A47432">
            <w:pPr>
              <w:spacing w:after="0" w:line="240" w:lineRule="auto"/>
              <w:jc w:val="center"/>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Semi - Annual operational report</w:t>
            </w:r>
            <w:r w:rsidRPr="00EB2AD9">
              <w:rPr>
                <w:rFonts w:ascii="Arial" w:eastAsia="Times New Roman" w:hAnsi="Arial" w:cs="Arial"/>
                <w:i/>
                <w:iCs/>
                <w:color w:val="000000"/>
                <w:sz w:val="22"/>
                <w:lang w:eastAsia="mn-MN"/>
              </w:rPr>
              <w:t xml:space="preserve"> /</w:t>
            </w:r>
            <w:r w:rsidRPr="00EB2AD9">
              <w:rPr>
                <w:rFonts w:ascii="Arial" w:eastAsia="Times New Roman" w:hAnsi="Arial" w:cs="Arial"/>
                <w:i/>
                <w:iCs/>
                <w:color w:val="000000"/>
                <w:sz w:val="22"/>
                <w:lang w:val="en-US" w:eastAsia="mn-MN"/>
              </w:rPr>
              <w:t>Form</w:t>
            </w:r>
            <w:r w:rsidRPr="00EB2AD9">
              <w:rPr>
                <w:rFonts w:ascii="Arial" w:eastAsia="Times New Roman" w:hAnsi="Arial" w:cs="Arial"/>
                <w:i/>
                <w:iCs/>
                <w:color w:val="000000"/>
                <w:sz w:val="22"/>
                <w:lang w:eastAsia="mn-MN"/>
              </w:rPr>
              <w:t xml:space="preserve"> </w:t>
            </w:r>
            <w:r w:rsidRPr="00EB2AD9">
              <w:rPr>
                <w:rFonts w:ascii="Arial" w:eastAsia="Times New Roman" w:hAnsi="Arial" w:cs="Arial"/>
                <w:i/>
                <w:iCs/>
                <w:color w:val="000000"/>
                <w:sz w:val="22"/>
                <w:lang w:val="en-US" w:eastAsia="mn-MN"/>
              </w:rPr>
              <w:t>2</w:t>
            </w:r>
            <w:r w:rsidRPr="00EB2AD9">
              <w:rPr>
                <w:rFonts w:ascii="Arial" w:eastAsia="Times New Roman" w:hAnsi="Arial" w:cs="Arial"/>
                <w:i/>
                <w:iCs/>
                <w:color w:val="000000"/>
                <w:sz w:val="22"/>
                <w:lang w:eastAsia="mn-MN"/>
              </w:rPr>
              <w:t>/</w:t>
            </w:r>
          </w:p>
        </w:tc>
      </w:tr>
      <w:tr w:rsidR="008B1D5B" w:rsidRPr="00EB2AD9" w14:paraId="3992B68E" w14:textId="77777777" w:rsidTr="009B52CF">
        <w:trPr>
          <w:trHeight w:val="1178"/>
        </w:trPr>
        <w:tc>
          <w:tcPr>
            <w:tcW w:w="10710" w:type="dxa"/>
            <w:gridSpan w:val="4"/>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hideMark/>
          </w:tcPr>
          <w:p w14:paraId="7FA00953" w14:textId="753544BD" w:rsidR="008B1D5B" w:rsidRPr="00EB2AD9" w:rsidRDefault="00383941" w:rsidP="009B52CF">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Article 20 of the Securities Market Law stipulates the ongoing obligations of the issuer, and the issuer is responsible for submitting an annual operational report to the Financial Regulatory Commission and the exchange in accordance with the below form, and shall disclose to the public through its website.</w:t>
            </w:r>
          </w:p>
        </w:tc>
      </w:tr>
      <w:tr w:rsidR="008B1D5B" w:rsidRPr="00EB2AD9" w14:paraId="54379E72" w14:textId="77777777" w:rsidTr="271ED4F3">
        <w:trPr>
          <w:trHeight w:val="260"/>
        </w:trPr>
        <w:tc>
          <w:tcPr>
            <w:tcW w:w="10710" w:type="dxa"/>
            <w:gridSpan w:val="4"/>
            <w:tcBorders>
              <w:top w:val="single" w:sz="4" w:space="0" w:color="auto"/>
              <w:left w:val="single" w:sz="4" w:space="0" w:color="auto"/>
              <w:bottom w:val="single" w:sz="4" w:space="0" w:color="auto"/>
              <w:right w:val="single" w:sz="4" w:space="0" w:color="000000" w:themeColor="text1"/>
            </w:tcBorders>
            <w:shd w:val="clear" w:color="auto" w:fill="auto"/>
            <w:hideMark/>
          </w:tcPr>
          <w:p w14:paraId="4C7233BC" w14:textId="6620FE31" w:rsidR="008B1D5B" w:rsidRPr="00EB2AD9" w:rsidRDefault="008B1D5B" w:rsidP="008B1D5B">
            <w:pPr>
              <w:spacing w:after="0" w:line="240" w:lineRule="auto"/>
              <w:rPr>
                <w:rFonts w:ascii="Arial" w:eastAsia="Times New Roman" w:hAnsi="Arial" w:cs="Arial"/>
                <w:i/>
                <w:iCs/>
                <w:color w:val="000000"/>
                <w:sz w:val="22"/>
                <w:lang w:eastAsia="mn-MN"/>
              </w:rPr>
            </w:pPr>
          </w:p>
        </w:tc>
      </w:tr>
      <w:tr w:rsidR="005E0DA5" w:rsidRPr="00EB2AD9" w14:paraId="262617B5" w14:textId="77777777" w:rsidTr="009B52CF">
        <w:trPr>
          <w:trHeight w:val="350"/>
        </w:trPr>
        <w:tc>
          <w:tcPr>
            <w:tcW w:w="3150" w:type="dxa"/>
            <w:gridSpan w:val="3"/>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tcPr>
          <w:p w14:paraId="5B9AA974" w14:textId="4103F17C" w:rsidR="005E0DA5" w:rsidRPr="00EB2AD9" w:rsidRDefault="008A6639" w:rsidP="009B52CF">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Reporting period</w:t>
            </w:r>
          </w:p>
        </w:tc>
        <w:tc>
          <w:tcPr>
            <w:tcW w:w="7560" w:type="dxa"/>
            <w:tcBorders>
              <w:top w:val="nil"/>
              <w:left w:val="nil"/>
              <w:bottom w:val="single" w:sz="4" w:space="0" w:color="auto"/>
              <w:right w:val="single" w:sz="4" w:space="0" w:color="auto"/>
            </w:tcBorders>
            <w:shd w:val="clear" w:color="auto" w:fill="auto"/>
            <w:vAlign w:val="center"/>
          </w:tcPr>
          <w:p w14:paraId="5763AE64" w14:textId="03DE2B13" w:rsidR="005E0DA5" w:rsidRPr="00EB2AD9" w:rsidRDefault="008A6639" w:rsidP="009B52CF">
            <w:pPr>
              <w:spacing w:after="0" w:line="240" w:lineRule="auto"/>
              <w:rPr>
                <w:rFonts w:ascii="Arial" w:eastAsia="Times New Roman" w:hAnsi="Arial" w:cs="Arial"/>
                <w:color w:val="000000"/>
                <w:sz w:val="22"/>
                <w:lang w:eastAsia="mn-MN"/>
              </w:rPr>
            </w:pPr>
            <w:r w:rsidRPr="00EB2AD9">
              <w:rPr>
                <w:rFonts w:ascii="Arial" w:eastAsia="Times New Roman" w:hAnsi="Arial" w:cs="Arial"/>
                <w:color w:val="000000"/>
                <w:sz w:val="22"/>
                <w:lang w:eastAsia="mn-MN"/>
              </w:rPr>
              <w:t>From January 1, 2024 to June 28, 2024</w:t>
            </w:r>
          </w:p>
        </w:tc>
      </w:tr>
      <w:tr w:rsidR="00C15312" w:rsidRPr="00EB2AD9" w14:paraId="533BB41F" w14:textId="77777777" w:rsidTr="009B52CF">
        <w:trPr>
          <w:trHeight w:val="1232"/>
        </w:trPr>
        <w:tc>
          <w:tcPr>
            <w:tcW w:w="3150" w:type="dxa"/>
            <w:gridSpan w:val="3"/>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hideMark/>
          </w:tcPr>
          <w:p w14:paraId="74C64B82" w14:textId="77CC99E8" w:rsidR="00C15312" w:rsidRPr="00EB2AD9" w:rsidRDefault="00383941" w:rsidP="009B52CF">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 xml:space="preserve">Issuer’s name, state registration certificate number, securities </w:t>
            </w:r>
            <w:r w:rsidRPr="00EB2AD9">
              <w:rPr>
                <w:rFonts w:ascii="Arial" w:eastAsia="Times New Roman" w:hAnsi="Arial" w:cs="Arial"/>
                <w:i/>
                <w:iCs/>
                <w:color w:val="000000"/>
                <w:sz w:val="22"/>
                <w:lang w:val="en-US" w:eastAsia="mn-MN"/>
              </w:rPr>
              <w:t>code</w:t>
            </w:r>
            <w:r w:rsidRPr="00EB2AD9">
              <w:rPr>
                <w:rFonts w:ascii="Arial" w:eastAsia="Times New Roman" w:hAnsi="Arial" w:cs="Arial"/>
                <w:i/>
                <w:iCs/>
                <w:color w:val="000000"/>
                <w:sz w:val="22"/>
                <w:lang w:eastAsia="mn-MN"/>
              </w:rPr>
              <w:t>, phone number</w:t>
            </w:r>
          </w:p>
        </w:tc>
        <w:tc>
          <w:tcPr>
            <w:tcW w:w="7560" w:type="dxa"/>
            <w:tcBorders>
              <w:top w:val="nil"/>
              <w:left w:val="nil"/>
              <w:bottom w:val="single" w:sz="4" w:space="0" w:color="auto"/>
              <w:right w:val="single" w:sz="4" w:space="0" w:color="auto"/>
            </w:tcBorders>
            <w:shd w:val="clear" w:color="auto" w:fill="auto"/>
            <w:vAlign w:val="center"/>
            <w:hideMark/>
          </w:tcPr>
          <w:p w14:paraId="44C09CDD" w14:textId="621798FB" w:rsidR="00383941" w:rsidRPr="00EB2AD9" w:rsidRDefault="00383941" w:rsidP="00383941">
            <w:pPr>
              <w:spacing w:after="0" w:line="240" w:lineRule="auto"/>
              <w:rPr>
                <w:rFonts w:ascii="Arial" w:eastAsia="Times New Roman" w:hAnsi="Arial" w:cs="Arial"/>
                <w:color w:val="000000"/>
                <w:sz w:val="22"/>
                <w:lang w:val="en-US" w:eastAsia="mn-MN"/>
              </w:rPr>
            </w:pPr>
            <w:r w:rsidRPr="00EB2AD9">
              <w:rPr>
                <w:rFonts w:ascii="Arial" w:eastAsia="Times New Roman" w:hAnsi="Arial" w:cs="Arial"/>
                <w:color w:val="000000"/>
                <w:sz w:val="22"/>
                <w:lang w:val="en-US" w:eastAsia="mn-MN"/>
              </w:rPr>
              <w:t>MONGOLIAN STOCK EXCHANGE JSC</w:t>
            </w:r>
          </w:p>
          <w:p w14:paraId="7DED32ED" w14:textId="03405524" w:rsidR="00C15312" w:rsidRPr="00EB2AD9" w:rsidRDefault="009B190F" w:rsidP="009B52CF">
            <w:pPr>
              <w:spacing w:after="0" w:line="240" w:lineRule="auto"/>
              <w:rPr>
                <w:rFonts w:ascii="Arial" w:eastAsia="Times New Roman" w:hAnsi="Arial" w:cs="Arial"/>
                <w:sz w:val="22"/>
                <w:lang w:val="en-US" w:eastAsia="mn-MN"/>
              </w:rPr>
            </w:pPr>
            <w:r w:rsidRPr="00EB2AD9">
              <w:rPr>
                <w:rFonts w:ascii="Arial" w:eastAsia="Times New Roman" w:hAnsi="Arial" w:cs="Arial"/>
                <w:color w:val="000000"/>
                <w:sz w:val="22"/>
                <w:lang w:val="en-US" w:eastAsia="mn-MN"/>
              </w:rPr>
              <w:t>SRCN</w:t>
            </w:r>
            <w:r w:rsidR="00C15312" w:rsidRPr="00EB2AD9">
              <w:rPr>
                <w:rFonts w:ascii="Arial" w:eastAsia="Times New Roman" w:hAnsi="Arial" w:cs="Arial"/>
                <w:sz w:val="22"/>
                <w:lang w:eastAsia="mn-MN"/>
              </w:rPr>
              <w:t>:</w:t>
            </w:r>
            <w:r w:rsidR="00C15312" w:rsidRPr="00EB2AD9">
              <w:rPr>
                <w:rFonts w:ascii="Arial" w:eastAsia="Times New Roman" w:hAnsi="Arial" w:cs="Arial"/>
                <w:sz w:val="22"/>
                <w:lang w:val="en-US" w:eastAsia="mn-MN"/>
              </w:rPr>
              <w:t>000267784</w:t>
            </w:r>
          </w:p>
          <w:p w14:paraId="0CB82C69" w14:textId="0759020B" w:rsidR="00383941" w:rsidRPr="00EB2AD9" w:rsidRDefault="009B190F" w:rsidP="00383941">
            <w:pPr>
              <w:spacing w:after="0" w:line="240" w:lineRule="auto"/>
              <w:rPr>
                <w:rFonts w:ascii="Arial" w:eastAsia="Times New Roman" w:hAnsi="Arial" w:cs="Arial"/>
                <w:color w:val="000000"/>
                <w:sz w:val="22"/>
                <w:lang w:eastAsia="mn-MN"/>
              </w:rPr>
            </w:pPr>
            <w:r w:rsidRPr="00EB2AD9">
              <w:rPr>
                <w:rFonts w:ascii="Arial" w:hAnsi="Arial" w:cs="Arial"/>
                <w:sz w:val="22"/>
              </w:rPr>
              <w:t>File number</w:t>
            </w:r>
            <w:r w:rsidR="00383941" w:rsidRPr="00EB2AD9">
              <w:rPr>
                <w:rFonts w:ascii="Arial" w:eastAsia="Times New Roman" w:hAnsi="Arial" w:cs="Arial"/>
                <w:color w:val="000000"/>
                <w:sz w:val="22"/>
                <w:lang w:eastAsia="mn-MN"/>
              </w:rPr>
              <w:t>:</w:t>
            </w:r>
            <w:r w:rsidR="007E19FF" w:rsidRPr="00EB2AD9">
              <w:rPr>
                <w:rFonts w:ascii="Arial" w:eastAsia="Times New Roman" w:hAnsi="Arial" w:cs="Arial"/>
                <w:color w:val="000000"/>
                <w:sz w:val="22"/>
                <w:lang w:eastAsia="mn-MN"/>
              </w:rPr>
              <w:t xml:space="preserve"> </w:t>
            </w:r>
            <w:r w:rsidR="00383941" w:rsidRPr="00EB2AD9">
              <w:rPr>
                <w:rFonts w:ascii="Arial" w:eastAsia="Times New Roman" w:hAnsi="Arial" w:cs="Arial"/>
                <w:color w:val="000000"/>
                <w:sz w:val="22"/>
                <w:lang w:eastAsia="mn-MN"/>
              </w:rPr>
              <w:t xml:space="preserve">9022001010, </w:t>
            </w:r>
          </w:p>
          <w:p w14:paraId="108C81A7" w14:textId="77777777" w:rsidR="00383941" w:rsidRPr="00EB2AD9" w:rsidRDefault="00383941" w:rsidP="00383941">
            <w:pPr>
              <w:spacing w:after="0" w:line="240" w:lineRule="auto"/>
              <w:rPr>
                <w:rFonts w:ascii="Arial" w:eastAsia="Times New Roman" w:hAnsi="Arial" w:cs="Arial"/>
                <w:color w:val="000000"/>
                <w:sz w:val="22"/>
                <w:lang w:eastAsia="mn-MN"/>
              </w:rPr>
            </w:pPr>
            <w:r w:rsidRPr="00EB2AD9">
              <w:rPr>
                <w:rFonts w:ascii="Arial" w:eastAsia="Times New Roman" w:hAnsi="Arial" w:cs="Arial"/>
                <w:color w:val="000000"/>
                <w:sz w:val="22"/>
                <w:lang w:val="en-US" w:eastAsia="mn-MN"/>
              </w:rPr>
              <w:t>Securities code</w:t>
            </w:r>
            <w:r w:rsidRPr="00EB2AD9">
              <w:rPr>
                <w:rFonts w:ascii="Arial" w:eastAsia="Times New Roman" w:hAnsi="Arial" w:cs="Arial"/>
                <w:color w:val="000000"/>
                <w:sz w:val="22"/>
                <w:lang w:eastAsia="mn-MN"/>
              </w:rPr>
              <w:t xml:space="preserve">:510 </w:t>
            </w:r>
          </w:p>
          <w:p w14:paraId="764BC118" w14:textId="79569E69" w:rsidR="00C15312" w:rsidRPr="00EB2AD9" w:rsidRDefault="00383941" w:rsidP="00383941">
            <w:pPr>
              <w:spacing w:after="0" w:line="240" w:lineRule="auto"/>
              <w:rPr>
                <w:rFonts w:ascii="Arial" w:eastAsia="Times New Roman" w:hAnsi="Arial" w:cs="Arial"/>
                <w:i/>
                <w:iCs/>
                <w:color w:val="000000"/>
                <w:sz w:val="22"/>
                <w:lang w:eastAsia="mn-MN"/>
              </w:rPr>
            </w:pPr>
            <w:r w:rsidRPr="00EB2AD9">
              <w:rPr>
                <w:rFonts w:ascii="Arial" w:eastAsia="Times New Roman" w:hAnsi="Arial" w:cs="Arial"/>
                <w:color w:val="000000"/>
                <w:sz w:val="22"/>
                <w:lang w:val="en-US" w:eastAsia="mn-MN"/>
              </w:rPr>
              <w:t>Phone</w:t>
            </w:r>
            <w:r w:rsidRPr="00EB2AD9">
              <w:rPr>
                <w:rFonts w:ascii="Arial" w:eastAsia="Times New Roman" w:hAnsi="Arial" w:cs="Arial"/>
                <w:color w:val="000000"/>
                <w:sz w:val="22"/>
                <w:lang w:eastAsia="mn-MN"/>
              </w:rPr>
              <w:t>: 11-313747</w:t>
            </w:r>
          </w:p>
        </w:tc>
      </w:tr>
      <w:tr w:rsidR="00C15312" w:rsidRPr="00EB2AD9" w14:paraId="3D1B0E3C" w14:textId="77777777" w:rsidTr="009B52CF">
        <w:trPr>
          <w:trHeight w:val="593"/>
        </w:trPr>
        <w:tc>
          <w:tcPr>
            <w:tcW w:w="3150" w:type="dxa"/>
            <w:gridSpan w:val="3"/>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hideMark/>
          </w:tcPr>
          <w:p w14:paraId="3479F396" w14:textId="672D9B96" w:rsidR="00C15312" w:rsidRPr="00EB2AD9" w:rsidRDefault="00383941" w:rsidP="009B52CF">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Name of listed exchange</w:t>
            </w:r>
          </w:p>
        </w:tc>
        <w:tc>
          <w:tcPr>
            <w:tcW w:w="7560" w:type="dxa"/>
            <w:tcBorders>
              <w:top w:val="nil"/>
              <w:left w:val="nil"/>
              <w:bottom w:val="single" w:sz="4" w:space="0" w:color="auto"/>
              <w:right w:val="single" w:sz="4" w:space="0" w:color="auto"/>
            </w:tcBorders>
            <w:shd w:val="clear" w:color="auto" w:fill="auto"/>
            <w:vAlign w:val="center"/>
            <w:hideMark/>
          </w:tcPr>
          <w:p w14:paraId="458291AA" w14:textId="4FD340C8" w:rsidR="00C15312" w:rsidRPr="00EB2AD9" w:rsidRDefault="00383941" w:rsidP="009B52CF">
            <w:pPr>
              <w:spacing w:after="0" w:line="240" w:lineRule="auto"/>
              <w:rPr>
                <w:rFonts w:ascii="Arial" w:eastAsia="Times New Roman" w:hAnsi="Arial" w:cs="Arial"/>
                <w:color w:val="000000"/>
                <w:sz w:val="22"/>
                <w:lang w:eastAsia="mn-MN"/>
              </w:rPr>
            </w:pPr>
            <w:r w:rsidRPr="00EB2AD9">
              <w:rPr>
                <w:rFonts w:ascii="Arial" w:eastAsia="Times New Roman" w:hAnsi="Arial" w:cs="Arial"/>
                <w:color w:val="000000"/>
                <w:sz w:val="22"/>
                <w:lang w:val="en-US" w:eastAsia="mn-MN"/>
              </w:rPr>
              <w:t>Mongolian Stock Exchange JSC</w:t>
            </w:r>
          </w:p>
        </w:tc>
      </w:tr>
      <w:tr w:rsidR="00C15312" w:rsidRPr="00EB2AD9" w14:paraId="2287CB7E" w14:textId="77777777" w:rsidTr="009B52CF">
        <w:trPr>
          <w:trHeight w:val="890"/>
        </w:trPr>
        <w:tc>
          <w:tcPr>
            <w:tcW w:w="3150" w:type="dxa"/>
            <w:gridSpan w:val="3"/>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hideMark/>
          </w:tcPr>
          <w:p w14:paraId="51FDE7B7" w14:textId="074231D1" w:rsidR="00C15312" w:rsidRPr="00EB2AD9" w:rsidRDefault="00383941" w:rsidP="009B52CF">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The sector of business operation</w:t>
            </w:r>
          </w:p>
        </w:tc>
        <w:tc>
          <w:tcPr>
            <w:tcW w:w="7560" w:type="dxa"/>
            <w:tcBorders>
              <w:top w:val="nil"/>
              <w:left w:val="nil"/>
              <w:bottom w:val="single" w:sz="4" w:space="0" w:color="auto"/>
              <w:right w:val="single" w:sz="4" w:space="0" w:color="auto"/>
            </w:tcBorders>
            <w:shd w:val="clear" w:color="auto" w:fill="auto"/>
            <w:vAlign w:val="center"/>
            <w:hideMark/>
          </w:tcPr>
          <w:p w14:paraId="58F4C484" w14:textId="084D1AD2" w:rsidR="00383941" w:rsidRPr="00EB2AD9" w:rsidRDefault="00383941" w:rsidP="00383941">
            <w:pPr>
              <w:spacing w:after="0" w:line="240" w:lineRule="auto"/>
              <w:rPr>
                <w:rFonts w:ascii="Arial" w:eastAsia="Times New Roman" w:hAnsi="Arial" w:cs="Arial"/>
                <w:color w:val="000000"/>
                <w:sz w:val="22"/>
                <w:lang w:eastAsia="mn-MN"/>
              </w:rPr>
            </w:pPr>
            <w:r w:rsidRPr="00EB2AD9">
              <w:rPr>
                <w:rFonts w:ascii="Arial" w:eastAsia="Times New Roman" w:hAnsi="Arial" w:cs="Arial"/>
                <w:color w:val="000000"/>
                <w:sz w:val="22"/>
                <w:lang w:eastAsia="mn-MN"/>
              </w:rPr>
              <w:t>66110</w:t>
            </w:r>
            <w:r w:rsidRPr="00EB2AD9">
              <w:rPr>
                <w:rFonts w:ascii="Arial" w:eastAsia="Times New Roman" w:hAnsi="Arial" w:cs="Arial"/>
                <w:color w:val="000000"/>
                <w:sz w:val="22"/>
                <w:lang w:val="en-US" w:eastAsia="mn-MN"/>
              </w:rPr>
              <w:t>-</w:t>
            </w:r>
            <w:r w:rsidRPr="00EB2AD9">
              <w:rPr>
                <w:rFonts w:ascii="Arial" w:eastAsia="Times New Roman" w:hAnsi="Arial" w:cs="Arial"/>
                <w:color w:val="000000"/>
                <w:sz w:val="22"/>
                <w:lang w:eastAsia="mn-MN"/>
              </w:rPr>
              <w:t xml:space="preserve"> Securities trading and self-regulatory organizations in the securities market</w:t>
            </w:r>
          </w:p>
          <w:p w14:paraId="14AF421B" w14:textId="602DB00B" w:rsidR="00731A85" w:rsidRPr="00EB2AD9" w:rsidRDefault="00383941" w:rsidP="00383941">
            <w:pPr>
              <w:spacing w:after="0" w:line="240" w:lineRule="auto"/>
              <w:rPr>
                <w:rFonts w:ascii="Arial" w:eastAsia="Times New Roman" w:hAnsi="Arial" w:cs="Arial"/>
                <w:color w:val="000000"/>
                <w:sz w:val="22"/>
                <w:lang w:eastAsia="mn-MN"/>
              </w:rPr>
            </w:pPr>
            <w:r w:rsidRPr="00EB2AD9">
              <w:rPr>
                <w:rFonts w:ascii="Arial" w:eastAsia="Times New Roman" w:hAnsi="Arial" w:cs="Arial"/>
                <w:color w:val="000000"/>
                <w:sz w:val="22"/>
                <w:lang w:eastAsia="mn-MN"/>
              </w:rPr>
              <w:t>66190</w:t>
            </w:r>
            <w:r w:rsidRPr="00EB2AD9">
              <w:rPr>
                <w:rFonts w:ascii="Arial" w:eastAsia="Times New Roman" w:hAnsi="Arial" w:cs="Arial"/>
                <w:color w:val="000000"/>
                <w:sz w:val="22"/>
                <w:lang w:val="en-US" w:eastAsia="mn-MN"/>
              </w:rPr>
              <w:t>-</w:t>
            </w:r>
            <w:r w:rsidRPr="00EB2AD9">
              <w:rPr>
                <w:rFonts w:ascii="Arial" w:eastAsia="Times New Roman" w:hAnsi="Arial" w:cs="Arial"/>
                <w:color w:val="000000"/>
                <w:sz w:val="22"/>
                <w:lang w:eastAsia="mn-MN"/>
              </w:rPr>
              <w:t xml:space="preserve"> Operations of mining product exchanges</w:t>
            </w:r>
          </w:p>
        </w:tc>
      </w:tr>
      <w:tr w:rsidR="00C15312" w:rsidRPr="00EB2AD9" w14:paraId="03853FCD" w14:textId="77777777" w:rsidTr="009B52CF">
        <w:trPr>
          <w:trHeight w:val="1160"/>
        </w:trPr>
        <w:tc>
          <w:tcPr>
            <w:tcW w:w="3150" w:type="dxa"/>
            <w:gridSpan w:val="3"/>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hideMark/>
          </w:tcPr>
          <w:p w14:paraId="5CFB6109" w14:textId="41B8E7C2" w:rsidR="00C15312" w:rsidRPr="00EB2AD9" w:rsidRDefault="00383941" w:rsidP="009B52CF">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Total number of shares issued</w:t>
            </w:r>
          </w:p>
        </w:tc>
        <w:tc>
          <w:tcPr>
            <w:tcW w:w="7560" w:type="dxa"/>
            <w:tcBorders>
              <w:top w:val="nil"/>
              <w:left w:val="nil"/>
              <w:bottom w:val="single" w:sz="4" w:space="0" w:color="auto"/>
              <w:right w:val="single" w:sz="4" w:space="0" w:color="auto"/>
            </w:tcBorders>
            <w:shd w:val="clear" w:color="auto" w:fill="auto"/>
            <w:vAlign w:val="center"/>
            <w:hideMark/>
          </w:tcPr>
          <w:p w14:paraId="32C67BB9" w14:textId="341C51F7" w:rsidR="00C15312" w:rsidRPr="00EB2AD9" w:rsidRDefault="00C15312" w:rsidP="009B52CF">
            <w:pPr>
              <w:spacing w:after="0" w:line="240" w:lineRule="auto"/>
              <w:rPr>
                <w:rFonts w:ascii="Arial" w:eastAsia="Times New Roman" w:hAnsi="Arial" w:cs="Arial"/>
                <w:i/>
                <w:iCs/>
                <w:color w:val="000000"/>
                <w:sz w:val="22"/>
                <w:lang w:eastAsia="mn-MN"/>
              </w:rPr>
            </w:pPr>
            <w:r w:rsidRPr="00EB2AD9">
              <w:rPr>
                <w:rStyle w:val="Strong"/>
                <w:rFonts w:ascii="Arial" w:hAnsi="Arial" w:cs="Arial"/>
                <w:i/>
                <w:iCs/>
                <w:sz w:val="22"/>
              </w:rPr>
              <w:t xml:space="preserve">350,463,539 </w:t>
            </w:r>
            <w:r w:rsidR="00F7153C">
              <w:rPr>
                <w:rStyle w:val="Strong"/>
                <w:rFonts w:ascii="Arial" w:hAnsi="Arial" w:cs="Arial"/>
                <w:i/>
                <w:iCs/>
                <w:sz w:val="22"/>
              </w:rPr>
              <w:t xml:space="preserve">shares </w:t>
            </w:r>
          </w:p>
        </w:tc>
      </w:tr>
      <w:tr w:rsidR="00C15312" w:rsidRPr="00EB2AD9" w14:paraId="20537FC1" w14:textId="77777777" w:rsidTr="009B52CF">
        <w:trPr>
          <w:trHeight w:val="1268"/>
        </w:trPr>
        <w:tc>
          <w:tcPr>
            <w:tcW w:w="3150" w:type="dxa"/>
            <w:gridSpan w:val="3"/>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hideMark/>
          </w:tcPr>
          <w:p w14:paraId="29ED5BEA" w14:textId="66AF18A5" w:rsidR="00C15312" w:rsidRPr="00EB2AD9" w:rsidRDefault="00E72340" w:rsidP="009B52CF">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Names of the specialist who prepared and the official who reviewed the</w:t>
            </w:r>
            <w:r w:rsidRPr="00EB2AD9">
              <w:rPr>
                <w:rFonts w:ascii="Arial" w:eastAsia="Times New Roman" w:hAnsi="Arial" w:cs="Arial"/>
                <w:i/>
                <w:iCs/>
                <w:color w:val="000000"/>
                <w:sz w:val="22"/>
                <w:lang w:val="en-US" w:eastAsia="mn-MN"/>
              </w:rPr>
              <w:t xml:space="preserve"> semi-</w:t>
            </w:r>
            <w:r w:rsidRPr="00EB2AD9">
              <w:rPr>
                <w:rFonts w:ascii="Arial" w:eastAsia="Times New Roman" w:hAnsi="Arial" w:cs="Arial"/>
                <w:i/>
                <w:iCs/>
                <w:color w:val="000000"/>
                <w:sz w:val="22"/>
                <w:lang w:eastAsia="mn-MN"/>
              </w:rPr>
              <w:t xml:space="preserve"> annual report</w:t>
            </w:r>
          </w:p>
        </w:tc>
        <w:tc>
          <w:tcPr>
            <w:tcW w:w="7560" w:type="dxa"/>
            <w:tcBorders>
              <w:top w:val="nil"/>
              <w:left w:val="nil"/>
              <w:bottom w:val="single" w:sz="4" w:space="0" w:color="auto"/>
              <w:right w:val="single" w:sz="4" w:space="0" w:color="auto"/>
            </w:tcBorders>
            <w:shd w:val="clear" w:color="auto" w:fill="auto"/>
            <w:vAlign w:val="center"/>
            <w:hideMark/>
          </w:tcPr>
          <w:p w14:paraId="7058760D" w14:textId="53B7126F" w:rsidR="00C15312" w:rsidRPr="00EB2AD9" w:rsidRDefault="00E72340" w:rsidP="009B52CF">
            <w:pPr>
              <w:spacing w:after="0" w:line="240" w:lineRule="auto"/>
              <w:rPr>
                <w:rFonts w:ascii="Arial" w:eastAsia="Times New Roman" w:hAnsi="Arial" w:cs="Arial"/>
                <w:i/>
                <w:iCs/>
                <w:color w:val="000000"/>
                <w:sz w:val="22"/>
                <w:lang w:val="en-US" w:eastAsia="mn-MN"/>
              </w:rPr>
            </w:pPr>
            <w:r w:rsidRPr="00EB2AD9">
              <w:rPr>
                <w:rFonts w:ascii="Arial" w:eastAsia="Times New Roman" w:hAnsi="Arial" w:cs="Arial"/>
                <w:i/>
                <w:iCs/>
                <w:color w:val="000000"/>
                <w:sz w:val="22"/>
                <w:lang w:val="en-US" w:eastAsia="mn-MN"/>
              </w:rPr>
              <w:t>Prepared by</w:t>
            </w:r>
            <w:r w:rsidR="00C15312" w:rsidRPr="00EB2AD9">
              <w:rPr>
                <w:rFonts w:ascii="Arial" w:eastAsia="Times New Roman" w:hAnsi="Arial" w:cs="Arial"/>
                <w:i/>
                <w:iCs/>
                <w:color w:val="000000"/>
                <w:sz w:val="22"/>
                <w:lang w:val="en-US" w:eastAsia="mn-MN"/>
              </w:rPr>
              <w:t xml:space="preserve"> </w:t>
            </w:r>
            <w:proofErr w:type="spellStart"/>
            <w:proofErr w:type="gramStart"/>
            <w:r w:rsidRPr="00EB2AD9">
              <w:rPr>
                <w:rFonts w:ascii="Arial" w:eastAsia="Times New Roman" w:hAnsi="Arial" w:cs="Arial"/>
                <w:i/>
                <w:iCs/>
                <w:color w:val="000000"/>
                <w:sz w:val="22"/>
                <w:lang w:val="en-US" w:eastAsia="mn-MN"/>
              </w:rPr>
              <w:t>D.Narangerel</w:t>
            </w:r>
            <w:proofErr w:type="spellEnd"/>
            <w:proofErr w:type="gramEnd"/>
            <w:r w:rsidRPr="00EB2AD9">
              <w:rPr>
                <w:rFonts w:ascii="Arial" w:eastAsia="Times New Roman" w:hAnsi="Arial" w:cs="Arial"/>
                <w:i/>
                <w:iCs/>
                <w:color w:val="000000"/>
                <w:sz w:val="22"/>
                <w:lang w:val="en-US" w:eastAsia="mn-MN"/>
              </w:rPr>
              <w:t xml:space="preserve"> </w:t>
            </w:r>
            <w:r w:rsidR="00C15312" w:rsidRPr="00EB2AD9">
              <w:rPr>
                <w:rFonts w:ascii="Arial" w:eastAsia="Times New Roman" w:hAnsi="Arial" w:cs="Arial"/>
                <w:i/>
                <w:iCs/>
                <w:color w:val="000000"/>
                <w:sz w:val="22"/>
                <w:lang w:val="en-US" w:eastAsia="mn-MN"/>
              </w:rPr>
              <w:t xml:space="preserve"> /</w:t>
            </w:r>
            <w:r w:rsidRPr="00EB2AD9">
              <w:rPr>
                <w:rFonts w:ascii="Arial" w:eastAsia="Times New Roman" w:hAnsi="Arial" w:cs="Arial"/>
                <w:i/>
                <w:iCs/>
                <w:color w:val="000000"/>
                <w:sz w:val="22"/>
                <w:lang w:val="en-US" w:eastAsia="mn-MN"/>
              </w:rPr>
              <w:t>General Accountant</w:t>
            </w:r>
            <w:r w:rsidR="00C15312" w:rsidRPr="00EB2AD9">
              <w:rPr>
                <w:rFonts w:ascii="Arial" w:eastAsia="Times New Roman" w:hAnsi="Arial" w:cs="Arial"/>
                <w:i/>
                <w:iCs/>
                <w:color w:val="000000"/>
                <w:sz w:val="22"/>
                <w:lang w:val="en-US" w:eastAsia="mn-MN"/>
              </w:rPr>
              <w:t>/</w:t>
            </w:r>
          </w:p>
          <w:p w14:paraId="1E33B440" w14:textId="3D814F24" w:rsidR="00C15312" w:rsidRPr="00EB2AD9" w:rsidRDefault="00C15312" w:rsidP="009B52CF">
            <w:pPr>
              <w:spacing w:after="0" w:line="240" w:lineRule="auto"/>
              <w:rPr>
                <w:rFonts w:ascii="Arial" w:eastAsia="Times New Roman" w:hAnsi="Arial" w:cs="Arial"/>
                <w:i/>
                <w:iCs/>
                <w:color w:val="000000"/>
                <w:sz w:val="22"/>
                <w:lang w:val="en-US" w:eastAsia="mn-MN"/>
              </w:rPr>
            </w:pPr>
            <w:r w:rsidRPr="00EB2AD9">
              <w:rPr>
                <w:rFonts w:ascii="Arial" w:eastAsia="Times New Roman" w:hAnsi="Arial" w:cs="Arial"/>
                <w:i/>
                <w:iCs/>
                <w:color w:val="000000"/>
                <w:sz w:val="22"/>
                <w:lang w:val="en-US" w:eastAsia="mn-MN"/>
              </w:rPr>
              <w:t xml:space="preserve">                   </w:t>
            </w:r>
            <w:r w:rsidR="00E72340" w:rsidRPr="00EB2AD9">
              <w:rPr>
                <w:rFonts w:ascii="Arial" w:eastAsia="Times New Roman" w:hAnsi="Arial" w:cs="Arial"/>
                <w:i/>
                <w:iCs/>
                <w:color w:val="000000"/>
                <w:sz w:val="22"/>
                <w:lang w:val="en-US" w:eastAsia="mn-MN"/>
              </w:rPr>
              <w:t xml:space="preserve"> </w:t>
            </w:r>
            <w:proofErr w:type="spellStart"/>
            <w:proofErr w:type="gramStart"/>
            <w:r w:rsidR="00E72340" w:rsidRPr="00EB2AD9">
              <w:rPr>
                <w:rFonts w:ascii="Arial" w:eastAsia="Times New Roman" w:hAnsi="Arial" w:cs="Arial"/>
                <w:i/>
                <w:iCs/>
                <w:color w:val="000000"/>
                <w:sz w:val="22"/>
                <w:lang w:val="en-US" w:eastAsia="mn-MN"/>
              </w:rPr>
              <w:t>A.Solongo</w:t>
            </w:r>
            <w:proofErr w:type="spellEnd"/>
            <w:proofErr w:type="gramEnd"/>
            <w:r w:rsidR="00E72340" w:rsidRPr="00EB2AD9">
              <w:rPr>
                <w:rFonts w:ascii="Arial" w:eastAsia="Times New Roman" w:hAnsi="Arial" w:cs="Arial"/>
                <w:i/>
                <w:iCs/>
                <w:color w:val="000000"/>
                <w:sz w:val="22"/>
                <w:lang w:val="en-US" w:eastAsia="mn-MN"/>
              </w:rPr>
              <w:t xml:space="preserve"> </w:t>
            </w:r>
            <w:r w:rsidRPr="00EB2AD9">
              <w:rPr>
                <w:rFonts w:ascii="Arial" w:eastAsia="Times New Roman" w:hAnsi="Arial" w:cs="Arial"/>
                <w:i/>
                <w:iCs/>
                <w:color w:val="000000"/>
                <w:sz w:val="22"/>
                <w:lang w:val="en-US" w:eastAsia="mn-MN"/>
              </w:rPr>
              <w:t xml:space="preserve"> /</w:t>
            </w:r>
            <w:r w:rsidR="008966E2" w:rsidRPr="00EB2AD9">
              <w:rPr>
                <w:rFonts w:ascii="Arial" w:eastAsia="Times New Roman" w:hAnsi="Arial" w:cs="Arial"/>
                <w:i/>
                <w:iCs/>
                <w:color w:val="000000"/>
                <w:sz w:val="22"/>
                <w:lang w:val="en-US" w:eastAsia="mn-MN"/>
              </w:rPr>
              <w:t>S</w:t>
            </w:r>
            <w:r w:rsidR="00E72340" w:rsidRPr="00EB2AD9">
              <w:rPr>
                <w:rFonts w:ascii="Arial" w:eastAsia="Times New Roman" w:hAnsi="Arial" w:cs="Arial"/>
                <w:i/>
                <w:iCs/>
                <w:color w:val="000000"/>
                <w:sz w:val="22"/>
                <w:lang w:val="en-US" w:eastAsia="mn-MN"/>
              </w:rPr>
              <w:t>pecialist</w:t>
            </w:r>
            <w:r w:rsidR="008966E2" w:rsidRPr="00EB2AD9">
              <w:rPr>
                <w:rFonts w:ascii="Arial" w:eastAsia="Times New Roman" w:hAnsi="Arial" w:cs="Arial"/>
                <w:i/>
                <w:iCs/>
                <w:color w:val="000000"/>
                <w:sz w:val="22"/>
                <w:lang w:val="en-US" w:eastAsia="mn-MN"/>
              </w:rPr>
              <w:t xml:space="preserve"> of Strateg</w:t>
            </w:r>
            <w:r w:rsidR="00F7153C">
              <w:rPr>
                <w:rFonts w:ascii="Arial" w:eastAsia="Times New Roman" w:hAnsi="Arial" w:cs="Arial"/>
                <w:i/>
                <w:iCs/>
                <w:color w:val="000000"/>
                <w:sz w:val="22"/>
                <w:lang w:val="en-US" w:eastAsia="mn-MN"/>
              </w:rPr>
              <w:t>ic</w:t>
            </w:r>
            <w:r w:rsidR="008966E2" w:rsidRPr="00EB2AD9">
              <w:rPr>
                <w:rFonts w:ascii="Arial" w:eastAsia="Times New Roman" w:hAnsi="Arial" w:cs="Arial"/>
                <w:i/>
                <w:iCs/>
                <w:color w:val="000000"/>
                <w:sz w:val="22"/>
                <w:lang w:val="en-US" w:eastAsia="mn-MN"/>
              </w:rPr>
              <w:t xml:space="preserve"> Planning </w:t>
            </w:r>
            <w:r w:rsidRPr="00EB2AD9">
              <w:rPr>
                <w:rFonts w:ascii="Arial" w:eastAsia="Times New Roman" w:hAnsi="Arial" w:cs="Arial"/>
                <w:i/>
                <w:iCs/>
                <w:color w:val="000000"/>
                <w:sz w:val="22"/>
                <w:lang w:val="en-US" w:eastAsia="mn-MN"/>
              </w:rPr>
              <w:t>/</w:t>
            </w:r>
          </w:p>
          <w:p w14:paraId="15EDDE4D" w14:textId="77777777" w:rsidR="00CE3900" w:rsidRPr="00EB2AD9" w:rsidRDefault="00CE3900" w:rsidP="009B52CF">
            <w:pPr>
              <w:spacing w:after="0" w:line="240" w:lineRule="auto"/>
              <w:rPr>
                <w:rFonts w:ascii="Arial" w:eastAsia="Times New Roman" w:hAnsi="Arial" w:cs="Arial"/>
                <w:i/>
                <w:iCs/>
                <w:color w:val="000000"/>
                <w:sz w:val="22"/>
                <w:lang w:val="en-US" w:eastAsia="mn-MN"/>
              </w:rPr>
            </w:pPr>
          </w:p>
          <w:p w14:paraId="11EBDB94" w14:textId="156EDC78" w:rsidR="00C15312" w:rsidRPr="00EB2AD9" w:rsidRDefault="00E72340" w:rsidP="009B52CF">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Reviewed by</w:t>
            </w:r>
            <w:r w:rsidR="00C15312" w:rsidRPr="00EB2AD9">
              <w:rPr>
                <w:rFonts w:ascii="Arial" w:eastAsia="Times New Roman" w:hAnsi="Arial" w:cs="Arial"/>
                <w:i/>
                <w:iCs/>
                <w:color w:val="000000"/>
                <w:sz w:val="22"/>
                <w:lang w:val="en-US" w:eastAsia="mn-MN"/>
              </w:rPr>
              <w:t xml:space="preserve"> </w:t>
            </w:r>
            <w:proofErr w:type="spellStart"/>
            <w:proofErr w:type="gramStart"/>
            <w:r w:rsidRPr="00EB2AD9">
              <w:rPr>
                <w:rFonts w:ascii="Arial" w:eastAsia="Times New Roman" w:hAnsi="Arial" w:cs="Arial"/>
                <w:i/>
                <w:iCs/>
                <w:color w:val="000000"/>
                <w:sz w:val="22"/>
                <w:lang w:val="en-US" w:eastAsia="mn-MN"/>
              </w:rPr>
              <w:t>G.Temuujin</w:t>
            </w:r>
            <w:proofErr w:type="spellEnd"/>
            <w:proofErr w:type="gramEnd"/>
            <w:r w:rsidRPr="00EB2AD9">
              <w:rPr>
                <w:rFonts w:ascii="Arial" w:eastAsia="Times New Roman" w:hAnsi="Arial" w:cs="Arial"/>
                <w:i/>
                <w:iCs/>
                <w:color w:val="000000"/>
                <w:sz w:val="22"/>
                <w:lang w:val="en-US" w:eastAsia="mn-MN"/>
              </w:rPr>
              <w:t xml:space="preserve"> </w:t>
            </w:r>
            <w:r w:rsidR="00C15312" w:rsidRPr="00EB2AD9">
              <w:rPr>
                <w:rFonts w:ascii="Arial" w:eastAsia="Times New Roman" w:hAnsi="Arial" w:cs="Arial"/>
                <w:i/>
                <w:iCs/>
                <w:color w:val="000000"/>
                <w:sz w:val="22"/>
                <w:lang w:val="en-US" w:eastAsia="mn-MN"/>
              </w:rPr>
              <w:t xml:space="preserve"> /</w:t>
            </w:r>
            <w:r w:rsidRPr="00EB2AD9">
              <w:rPr>
                <w:rFonts w:ascii="Arial" w:eastAsia="Times New Roman" w:hAnsi="Arial" w:cs="Arial"/>
                <w:i/>
                <w:iCs/>
                <w:color w:val="000000"/>
                <w:sz w:val="22"/>
                <w:lang w:val="en-US" w:eastAsia="mn-MN"/>
              </w:rPr>
              <w:t>Board Secretary</w:t>
            </w:r>
            <w:r w:rsidR="00C15312" w:rsidRPr="00EB2AD9">
              <w:rPr>
                <w:rFonts w:ascii="Arial" w:eastAsia="Times New Roman" w:hAnsi="Arial" w:cs="Arial"/>
                <w:i/>
                <w:iCs/>
                <w:color w:val="000000"/>
                <w:sz w:val="22"/>
                <w:lang w:val="en-US" w:eastAsia="mn-MN"/>
              </w:rPr>
              <w:t>/</w:t>
            </w:r>
          </w:p>
        </w:tc>
      </w:tr>
      <w:tr w:rsidR="00C15312" w:rsidRPr="00EB2AD9" w14:paraId="3D4DB6C9" w14:textId="77777777" w:rsidTr="0067437A">
        <w:trPr>
          <w:trHeight w:val="656"/>
        </w:trPr>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58D16D" w14:textId="68EE5534" w:rsidR="00C15312" w:rsidRPr="00EB2AD9" w:rsidRDefault="00C15312" w:rsidP="0067437A">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1.</w:t>
            </w:r>
          </w:p>
        </w:tc>
        <w:tc>
          <w:tcPr>
            <w:tcW w:w="9900" w:type="dxa"/>
            <w:gridSpan w:val="3"/>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06712EB" w14:textId="47186A44" w:rsidR="00C15312" w:rsidRPr="00EB2AD9" w:rsidRDefault="005B1231" w:rsidP="00A47432">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Semi-annual financial report</w:t>
            </w:r>
            <w:r w:rsidR="00B31C31" w:rsidRPr="00EB2AD9">
              <w:rPr>
                <w:rFonts w:ascii="Arial" w:eastAsia="Times New Roman" w:hAnsi="Arial" w:cs="Arial"/>
                <w:i/>
                <w:iCs/>
                <w:color w:val="000000"/>
                <w:sz w:val="22"/>
                <w:lang w:eastAsia="mn-MN"/>
              </w:rPr>
              <w:t xml:space="preserve"> </w:t>
            </w:r>
            <w:r w:rsidRPr="00EB2AD9">
              <w:rPr>
                <w:rFonts w:ascii="Arial" w:eastAsia="Times New Roman" w:hAnsi="Arial" w:cs="Arial"/>
                <w:i/>
                <w:iCs/>
                <w:color w:val="000000"/>
                <w:sz w:val="22"/>
                <w:lang w:eastAsia="mn-MN"/>
              </w:rPr>
              <w:t>/fill out the summary report indicators and attach the financial statement/</w:t>
            </w:r>
          </w:p>
        </w:tc>
      </w:tr>
      <w:tr w:rsidR="00C15312" w:rsidRPr="00EB2AD9" w14:paraId="4B6F282A" w14:textId="77777777" w:rsidTr="00A47432">
        <w:trPr>
          <w:trHeight w:val="421"/>
        </w:trPr>
        <w:tc>
          <w:tcPr>
            <w:tcW w:w="3150" w:type="dxa"/>
            <w:gridSpan w:val="3"/>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hideMark/>
          </w:tcPr>
          <w:p w14:paraId="696A08C5" w14:textId="0EDC37A1" w:rsidR="00C15312" w:rsidRPr="00EB2AD9" w:rsidRDefault="005B1231" w:rsidP="00A47432">
            <w:pPr>
              <w:spacing w:after="0" w:line="240" w:lineRule="auto"/>
              <w:rPr>
                <w:rFonts w:ascii="Arial" w:eastAsia="Times New Roman" w:hAnsi="Arial" w:cs="Arial"/>
                <w:i/>
                <w:iCs/>
                <w:color w:val="000000"/>
                <w:sz w:val="22"/>
                <w:lang w:eastAsia="mn-MN"/>
              </w:rPr>
            </w:pPr>
            <w:bookmarkStart w:id="0" w:name="_Hlk130915410"/>
            <w:bookmarkStart w:id="1" w:name="_Hlk130915419"/>
            <w:r w:rsidRPr="00EB2AD9">
              <w:rPr>
                <w:rFonts w:ascii="Arial" w:eastAsia="Times New Roman" w:hAnsi="Arial" w:cs="Arial"/>
                <w:i/>
                <w:iCs/>
                <w:color w:val="000000"/>
                <w:sz w:val="22"/>
                <w:lang w:val="en-US" w:eastAsia="mn-MN"/>
              </w:rPr>
              <w:t>Balance sheet</w:t>
            </w:r>
          </w:p>
        </w:tc>
        <w:tc>
          <w:tcPr>
            <w:tcW w:w="7560" w:type="dxa"/>
            <w:tcBorders>
              <w:top w:val="nil"/>
              <w:left w:val="nil"/>
              <w:bottom w:val="single" w:sz="4" w:space="0" w:color="auto"/>
              <w:right w:val="single" w:sz="4" w:space="0" w:color="auto"/>
            </w:tcBorders>
            <w:shd w:val="clear" w:color="auto" w:fill="FFFFFF" w:themeFill="background1"/>
            <w:hideMark/>
          </w:tcPr>
          <w:tbl>
            <w:tblPr>
              <w:tblpPr w:leftFromText="180" w:rightFromText="180" w:vertAnchor="text" w:horzAnchor="page" w:tblpX="185" w:tblpY="-37"/>
              <w:tblOverlap w:val="never"/>
              <w:tblW w:w="7197" w:type="dxa"/>
              <w:tblLayout w:type="fixed"/>
              <w:tblLook w:val="04A0" w:firstRow="1" w:lastRow="0" w:firstColumn="1" w:lastColumn="0" w:noHBand="0" w:noVBand="1"/>
            </w:tblPr>
            <w:tblGrid>
              <w:gridCol w:w="2789"/>
              <w:gridCol w:w="2159"/>
              <w:gridCol w:w="2249"/>
            </w:tblGrid>
            <w:tr w:rsidR="00C15312" w:rsidRPr="00EB2AD9" w14:paraId="3720C9B3" w14:textId="77777777" w:rsidTr="00A83C17">
              <w:trPr>
                <w:trHeight w:val="440"/>
              </w:trPr>
              <w:tc>
                <w:tcPr>
                  <w:tcW w:w="2789" w:type="dxa"/>
                  <w:tcBorders>
                    <w:top w:val="single" w:sz="4" w:space="0" w:color="auto"/>
                    <w:left w:val="nil"/>
                    <w:bottom w:val="single" w:sz="4" w:space="0" w:color="auto"/>
                    <w:right w:val="nil"/>
                  </w:tcBorders>
                  <w:shd w:val="clear" w:color="000000" w:fill="FFFFFF"/>
                  <w:vAlign w:val="center"/>
                  <w:hideMark/>
                </w:tcPr>
                <w:p w14:paraId="26B90B1D" w14:textId="24E50E8A" w:rsidR="00C15312" w:rsidRPr="00700FE0" w:rsidRDefault="005B1231" w:rsidP="00C15312">
                  <w:pPr>
                    <w:spacing w:after="0" w:line="240" w:lineRule="auto"/>
                    <w:jc w:val="center"/>
                    <w:rPr>
                      <w:rFonts w:ascii="Arial" w:eastAsia="Times New Roman" w:hAnsi="Arial" w:cs="Arial"/>
                      <w:b/>
                      <w:bCs/>
                      <w:sz w:val="20"/>
                      <w:szCs w:val="20"/>
                    </w:rPr>
                  </w:pPr>
                  <w:r w:rsidRPr="00700FE0">
                    <w:rPr>
                      <w:rFonts w:ascii="Arial" w:eastAsia="Times New Roman" w:hAnsi="Arial" w:cs="Arial"/>
                      <w:b/>
                      <w:bCs/>
                      <w:sz w:val="20"/>
                      <w:szCs w:val="20"/>
                    </w:rPr>
                    <w:t>Items</w:t>
                  </w:r>
                </w:p>
              </w:tc>
              <w:tc>
                <w:tcPr>
                  <w:tcW w:w="2159" w:type="dxa"/>
                  <w:tcBorders>
                    <w:top w:val="single" w:sz="4" w:space="0" w:color="auto"/>
                    <w:left w:val="nil"/>
                    <w:bottom w:val="single" w:sz="4" w:space="0" w:color="auto"/>
                    <w:right w:val="nil"/>
                  </w:tcBorders>
                  <w:shd w:val="clear" w:color="000000" w:fill="FFFFFF"/>
                  <w:vAlign w:val="center"/>
                  <w:hideMark/>
                </w:tcPr>
                <w:p w14:paraId="23EC2CF5" w14:textId="4467E503" w:rsidR="00C15312" w:rsidRPr="00700FE0" w:rsidRDefault="00C15312" w:rsidP="00C15312">
                  <w:pPr>
                    <w:spacing w:after="0" w:line="240" w:lineRule="auto"/>
                    <w:rPr>
                      <w:rFonts w:ascii="Arial" w:eastAsia="Times New Roman" w:hAnsi="Arial" w:cs="Arial"/>
                      <w:b/>
                      <w:bCs/>
                      <w:sz w:val="20"/>
                      <w:szCs w:val="20"/>
                      <w:lang w:val="en-US"/>
                    </w:rPr>
                  </w:pPr>
                  <w:r w:rsidRPr="00700FE0">
                    <w:rPr>
                      <w:rFonts w:ascii="Arial" w:eastAsia="Times New Roman" w:hAnsi="Arial" w:cs="Arial"/>
                      <w:b/>
                      <w:bCs/>
                      <w:sz w:val="20"/>
                      <w:szCs w:val="20"/>
                      <w:lang w:val="en-US"/>
                    </w:rPr>
                    <w:t xml:space="preserve">      </w:t>
                  </w:r>
                  <w:r w:rsidRPr="00700FE0">
                    <w:rPr>
                      <w:rFonts w:ascii="Arial" w:eastAsia="Times New Roman" w:hAnsi="Arial" w:cs="Arial"/>
                      <w:b/>
                      <w:bCs/>
                      <w:sz w:val="20"/>
                      <w:szCs w:val="20"/>
                    </w:rPr>
                    <w:t>1/1/202</w:t>
                  </w:r>
                  <w:r w:rsidRPr="00700FE0">
                    <w:rPr>
                      <w:rFonts w:ascii="Arial" w:eastAsia="Times New Roman" w:hAnsi="Arial" w:cs="Arial"/>
                      <w:b/>
                      <w:bCs/>
                      <w:sz w:val="20"/>
                      <w:szCs w:val="20"/>
                      <w:lang w:val="en-US"/>
                    </w:rPr>
                    <w:t>4</w:t>
                  </w:r>
                </w:p>
              </w:tc>
              <w:tc>
                <w:tcPr>
                  <w:tcW w:w="2249" w:type="dxa"/>
                  <w:tcBorders>
                    <w:top w:val="single" w:sz="4" w:space="0" w:color="auto"/>
                    <w:left w:val="nil"/>
                    <w:bottom w:val="single" w:sz="4" w:space="0" w:color="auto"/>
                    <w:right w:val="nil"/>
                  </w:tcBorders>
                  <w:shd w:val="clear" w:color="000000" w:fill="FFFFFF"/>
                  <w:vAlign w:val="center"/>
                  <w:hideMark/>
                </w:tcPr>
                <w:p w14:paraId="3685692E" w14:textId="1D27B953" w:rsidR="00C15312" w:rsidRPr="00700FE0" w:rsidRDefault="00C15312" w:rsidP="00C15312">
                  <w:pPr>
                    <w:spacing w:after="0" w:line="240" w:lineRule="auto"/>
                    <w:jc w:val="center"/>
                    <w:rPr>
                      <w:rFonts w:ascii="Arial" w:eastAsia="Times New Roman" w:hAnsi="Arial" w:cs="Arial"/>
                      <w:b/>
                      <w:bCs/>
                      <w:sz w:val="20"/>
                      <w:szCs w:val="20"/>
                      <w:lang w:val="en-US"/>
                    </w:rPr>
                  </w:pPr>
                  <w:r w:rsidRPr="00700FE0">
                    <w:rPr>
                      <w:rFonts w:ascii="Arial" w:eastAsia="Times New Roman" w:hAnsi="Arial" w:cs="Arial"/>
                      <w:b/>
                      <w:bCs/>
                      <w:sz w:val="20"/>
                      <w:szCs w:val="20"/>
                    </w:rPr>
                    <w:t>06/</w:t>
                  </w:r>
                  <w:r w:rsidR="00CF294D" w:rsidRPr="00700FE0">
                    <w:rPr>
                      <w:rFonts w:ascii="Arial" w:eastAsia="Times New Roman" w:hAnsi="Arial" w:cs="Arial"/>
                      <w:b/>
                      <w:bCs/>
                      <w:sz w:val="20"/>
                      <w:szCs w:val="20"/>
                    </w:rPr>
                    <w:t>28</w:t>
                  </w:r>
                  <w:r w:rsidRPr="00700FE0">
                    <w:rPr>
                      <w:rFonts w:ascii="Arial" w:eastAsia="Times New Roman" w:hAnsi="Arial" w:cs="Arial"/>
                      <w:b/>
                      <w:bCs/>
                      <w:sz w:val="20"/>
                      <w:szCs w:val="20"/>
                    </w:rPr>
                    <w:t>/202</w:t>
                  </w:r>
                  <w:r w:rsidRPr="00700FE0">
                    <w:rPr>
                      <w:rFonts w:ascii="Arial" w:eastAsia="Times New Roman" w:hAnsi="Arial" w:cs="Arial"/>
                      <w:b/>
                      <w:bCs/>
                      <w:sz w:val="20"/>
                      <w:szCs w:val="20"/>
                      <w:lang w:val="en-US"/>
                    </w:rPr>
                    <w:t>4</w:t>
                  </w:r>
                </w:p>
              </w:tc>
            </w:tr>
            <w:tr w:rsidR="005B1231" w:rsidRPr="00EB2AD9" w14:paraId="5F199182" w14:textId="77777777" w:rsidTr="00A83C17">
              <w:trPr>
                <w:trHeight w:val="124"/>
              </w:trPr>
              <w:tc>
                <w:tcPr>
                  <w:tcW w:w="2789" w:type="dxa"/>
                  <w:tcBorders>
                    <w:top w:val="nil"/>
                    <w:left w:val="nil"/>
                    <w:bottom w:val="nil"/>
                    <w:right w:val="nil"/>
                  </w:tcBorders>
                  <w:shd w:val="clear" w:color="auto" w:fill="auto"/>
                  <w:vAlign w:val="center"/>
                  <w:hideMark/>
                </w:tcPr>
                <w:p w14:paraId="7FE6B682" w14:textId="38A871FF" w:rsidR="005B1231" w:rsidRPr="00700FE0" w:rsidRDefault="005B1231" w:rsidP="005B1231">
                  <w:pPr>
                    <w:spacing w:after="0" w:line="240" w:lineRule="auto"/>
                    <w:rPr>
                      <w:rFonts w:ascii="Arial" w:eastAsia="Times New Roman" w:hAnsi="Arial" w:cs="Arial"/>
                      <w:b/>
                      <w:bCs/>
                      <w:sz w:val="20"/>
                      <w:szCs w:val="20"/>
                    </w:rPr>
                  </w:pPr>
                  <w:r w:rsidRPr="00700FE0">
                    <w:rPr>
                      <w:rFonts w:ascii="Arial" w:eastAsia="Times New Roman" w:hAnsi="Arial" w:cs="Arial"/>
                      <w:b/>
                      <w:bCs/>
                      <w:sz w:val="20"/>
                      <w:szCs w:val="20"/>
                      <w:lang w:val="en-US"/>
                    </w:rPr>
                    <w:t>ASSET</w:t>
                  </w:r>
                </w:p>
              </w:tc>
              <w:tc>
                <w:tcPr>
                  <w:tcW w:w="2159" w:type="dxa"/>
                  <w:tcBorders>
                    <w:top w:val="nil"/>
                    <w:left w:val="nil"/>
                    <w:bottom w:val="nil"/>
                    <w:right w:val="nil"/>
                  </w:tcBorders>
                  <w:shd w:val="clear" w:color="auto" w:fill="auto"/>
                  <w:vAlign w:val="center"/>
                  <w:hideMark/>
                </w:tcPr>
                <w:p w14:paraId="50F49B4D" w14:textId="77777777" w:rsidR="005B1231" w:rsidRPr="00700FE0" w:rsidRDefault="005B1231" w:rsidP="005B1231">
                  <w:pPr>
                    <w:spacing w:after="0" w:line="240" w:lineRule="auto"/>
                    <w:jc w:val="center"/>
                    <w:rPr>
                      <w:rFonts w:ascii="Arial" w:eastAsia="Times New Roman" w:hAnsi="Arial" w:cs="Arial"/>
                      <w:b/>
                      <w:bCs/>
                      <w:sz w:val="20"/>
                      <w:szCs w:val="20"/>
                    </w:rPr>
                  </w:pPr>
                </w:p>
              </w:tc>
              <w:tc>
                <w:tcPr>
                  <w:tcW w:w="2249" w:type="dxa"/>
                  <w:tcBorders>
                    <w:top w:val="nil"/>
                    <w:left w:val="nil"/>
                    <w:bottom w:val="nil"/>
                    <w:right w:val="nil"/>
                  </w:tcBorders>
                  <w:shd w:val="clear" w:color="auto" w:fill="auto"/>
                  <w:vAlign w:val="center"/>
                  <w:hideMark/>
                </w:tcPr>
                <w:p w14:paraId="52F6BF66" w14:textId="77777777" w:rsidR="005B1231" w:rsidRPr="00700FE0" w:rsidRDefault="005B1231" w:rsidP="005B1231">
                  <w:pPr>
                    <w:spacing w:after="0" w:line="240" w:lineRule="auto"/>
                    <w:jc w:val="center"/>
                    <w:rPr>
                      <w:rFonts w:ascii="Arial" w:eastAsia="Times New Roman" w:hAnsi="Arial" w:cs="Arial"/>
                      <w:sz w:val="20"/>
                      <w:szCs w:val="20"/>
                    </w:rPr>
                  </w:pPr>
                </w:p>
              </w:tc>
            </w:tr>
            <w:tr w:rsidR="005B1231" w:rsidRPr="00EB2AD9" w14:paraId="338C27ED" w14:textId="77777777" w:rsidTr="00A83C17">
              <w:trPr>
                <w:trHeight w:val="387"/>
              </w:trPr>
              <w:tc>
                <w:tcPr>
                  <w:tcW w:w="2789" w:type="dxa"/>
                  <w:tcBorders>
                    <w:top w:val="nil"/>
                    <w:left w:val="nil"/>
                    <w:bottom w:val="nil"/>
                    <w:right w:val="nil"/>
                  </w:tcBorders>
                  <w:shd w:val="clear" w:color="auto" w:fill="auto"/>
                  <w:vAlign w:val="center"/>
                  <w:hideMark/>
                </w:tcPr>
                <w:p w14:paraId="72EFFFD1" w14:textId="353B7FB4" w:rsidR="005B1231" w:rsidRPr="00700FE0" w:rsidRDefault="005B1231" w:rsidP="005B1231">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Current asset</w:t>
                  </w:r>
                </w:p>
              </w:tc>
              <w:tc>
                <w:tcPr>
                  <w:tcW w:w="2159" w:type="dxa"/>
                  <w:tcBorders>
                    <w:top w:val="nil"/>
                    <w:left w:val="nil"/>
                    <w:bottom w:val="nil"/>
                    <w:right w:val="nil"/>
                  </w:tcBorders>
                  <w:shd w:val="clear" w:color="auto" w:fill="auto"/>
                  <w:vAlign w:val="center"/>
                  <w:hideMark/>
                </w:tcPr>
                <w:p w14:paraId="7C35DBB9" w14:textId="3A2CA118" w:rsidR="005B1231" w:rsidRPr="00700FE0" w:rsidRDefault="005B1231" w:rsidP="005B1231">
                  <w:pPr>
                    <w:spacing w:after="0" w:line="240" w:lineRule="auto"/>
                    <w:jc w:val="right"/>
                    <w:rPr>
                      <w:rFonts w:ascii="Arial" w:eastAsia="Times New Roman" w:hAnsi="Arial" w:cs="Arial"/>
                      <w:sz w:val="20"/>
                      <w:szCs w:val="20"/>
                    </w:rPr>
                  </w:pPr>
                  <w:r w:rsidRPr="00700FE0">
                    <w:rPr>
                      <w:rFonts w:ascii="Arial" w:eastAsia="Times New Roman" w:hAnsi="Arial" w:cs="Arial"/>
                      <w:sz w:val="20"/>
                      <w:szCs w:val="20"/>
                      <w:lang w:val="en-US"/>
                    </w:rPr>
                    <w:t>904</w:t>
                  </w:r>
                  <w:r w:rsidRPr="00700FE0">
                    <w:rPr>
                      <w:rFonts w:ascii="Arial" w:eastAsia="Times New Roman" w:hAnsi="Arial" w:cs="Arial"/>
                      <w:sz w:val="20"/>
                      <w:szCs w:val="20"/>
                    </w:rPr>
                    <w:t>,</w:t>
                  </w:r>
                  <w:r w:rsidRPr="00700FE0">
                    <w:rPr>
                      <w:rFonts w:ascii="Arial" w:eastAsia="Times New Roman" w:hAnsi="Arial" w:cs="Arial"/>
                      <w:sz w:val="20"/>
                      <w:szCs w:val="20"/>
                      <w:lang w:val="en-US"/>
                    </w:rPr>
                    <w:t>842</w:t>
                  </w:r>
                  <w:r w:rsidRPr="00700FE0">
                    <w:rPr>
                      <w:rFonts w:ascii="Arial" w:eastAsia="Times New Roman" w:hAnsi="Arial" w:cs="Arial"/>
                      <w:sz w:val="20"/>
                      <w:szCs w:val="20"/>
                    </w:rPr>
                    <w:t>,</w:t>
                  </w:r>
                  <w:r w:rsidRPr="00700FE0">
                    <w:rPr>
                      <w:rFonts w:ascii="Arial" w:eastAsia="Times New Roman" w:hAnsi="Arial" w:cs="Arial"/>
                      <w:sz w:val="20"/>
                      <w:szCs w:val="20"/>
                      <w:lang w:val="en-US"/>
                    </w:rPr>
                    <w:t>895</w:t>
                  </w:r>
                  <w:r w:rsidRPr="00700FE0">
                    <w:rPr>
                      <w:rFonts w:ascii="Arial" w:eastAsia="Times New Roman" w:hAnsi="Arial" w:cs="Arial"/>
                      <w:sz w:val="20"/>
                      <w:szCs w:val="20"/>
                    </w:rPr>
                    <w:t>,</w:t>
                  </w:r>
                  <w:r w:rsidRPr="00700FE0">
                    <w:rPr>
                      <w:rFonts w:ascii="Arial" w:eastAsia="Times New Roman" w:hAnsi="Arial" w:cs="Arial"/>
                      <w:sz w:val="20"/>
                      <w:szCs w:val="20"/>
                      <w:lang w:val="en-US"/>
                    </w:rPr>
                    <w:t>157.05</w:t>
                  </w:r>
                  <w:r w:rsidRPr="00700FE0">
                    <w:rPr>
                      <w:rFonts w:ascii="Arial" w:eastAsia="Times New Roman" w:hAnsi="Arial" w:cs="Arial"/>
                      <w:sz w:val="20"/>
                      <w:szCs w:val="20"/>
                    </w:rPr>
                    <w:t xml:space="preserve">                                                                                  </w:t>
                  </w:r>
                </w:p>
              </w:tc>
              <w:tc>
                <w:tcPr>
                  <w:tcW w:w="2249" w:type="dxa"/>
                  <w:tcBorders>
                    <w:top w:val="nil"/>
                    <w:left w:val="nil"/>
                    <w:bottom w:val="nil"/>
                    <w:right w:val="nil"/>
                  </w:tcBorders>
                  <w:shd w:val="clear" w:color="auto" w:fill="auto"/>
                  <w:vAlign w:val="center"/>
                </w:tcPr>
                <w:p w14:paraId="100C7560" w14:textId="77777777" w:rsidR="005B1231" w:rsidRPr="00700FE0" w:rsidRDefault="005B1231" w:rsidP="005B1231">
                  <w:pPr>
                    <w:spacing w:after="0" w:line="240" w:lineRule="auto"/>
                    <w:jc w:val="right"/>
                    <w:rPr>
                      <w:rFonts w:ascii="Arial" w:eastAsia="Times New Roman" w:hAnsi="Arial" w:cs="Arial"/>
                      <w:sz w:val="20"/>
                      <w:szCs w:val="20"/>
                    </w:rPr>
                  </w:pPr>
                </w:p>
                <w:p w14:paraId="03AB492F" w14:textId="056C3ACB"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1,061</w:t>
                  </w:r>
                  <w:r w:rsidRPr="00700FE0">
                    <w:rPr>
                      <w:rFonts w:ascii="Arial" w:eastAsia="Times New Roman" w:hAnsi="Arial" w:cs="Arial"/>
                      <w:sz w:val="20"/>
                      <w:szCs w:val="20"/>
                    </w:rPr>
                    <w:t>,</w:t>
                  </w:r>
                  <w:r w:rsidRPr="00700FE0">
                    <w:rPr>
                      <w:rFonts w:ascii="Arial" w:eastAsia="Times New Roman" w:hAnsi="Arial" w:cs="Arial"/>
                      <w:sz w:val="20"/>
                      <w:szCs w:val="20"/>
                      <w:lang w:val="en-US"/>
                    </w:rPr>
                    <w:t>566</w:t>
                  </w:r>
                  <w:r w:rsidRPr="00700FE0">
                    <w:rPr>
                      <w:rFonts w:ascii="Arial" w:eastAsia="Times New Roman" w:hAnsi="Arial" w:cs="Arial"/>
                      <w:sz w:val="20"/>
                      <w:szCs w:val="20"/>
                    </w:rPr>
                    <w:t>,</w:t>
                  </w:r>
                  <w:r w:rsidRPr="00700FE0">
                    <w:rPr>
                      <w:rFonts w:ascii="Arial" w:eastAsia="Times New Roman" w:hAnsi="Arial" w:cs="Arial"/>
                      <w:sz w:val="20"/>
                      <w:szCs w:val="20"/>
                      <w:lang w:val="en-US"/>
                    </w:rPr>
                    <w:t>11</w:t>
                  </w:r>
                  <w:r w:rsidRPr="00700FE0">
                    <w:rPr>
                      <w:rFonts w:ascii="Arial" w:eastAsia="Times New Roman" w:hAnsi="Arial" w:cs="Arial"/>
                      <w:sz w:val="20"/>
                      <w:szCs w:val="20"/>
                    </w:rPr>
                    <w:t>7,</w:t>
                  </w:r>
                  <w:r w:rsidRPr="00700FE0">
                    <w:rPr>
                      <w:rFonts w:ascii="Arial" w:eastAsia="Times New Roman" w:hAnsi="Arial" w:cs="Arial"/>
                      <w:sz w:val="20"/>
                      <w:szCs w:val="20"/>
                      <w:lang w:val="en-US"/>
                    </w:rPr>
                    <w:t>311.11</w:t>
                  </w:r>
                </w:p>
                <w:p w14:paraId="393B5081" w14:textId="39628AA6" w:rsidR="005B1231" w:rsidRPr="00700FE0" w:rsidRDefault="005B1231" w:rsidP="005B1231">
                  <w:pPr>
                    <w:spacing w:after="0" w:line="240" w:lineRule="auto"/>
                    <w:jc w:val="right"/>
                    <w:rPr>
                      <w:rFonts w:ascii="Arial" w:eastAsia="Times New Roman" w:hAnsi="Arial" w:cs="Arial"/>
                      <w:sz w:val="20"/>
                      <w:szCs w:val="20"/>
                    </w:rPr>
                  </w:pPr>
                </w:p>
              </w:tc>
            </w:tr>
            <w:tr w:rsidR="005B1231" w:rsidRPr="00EB2AD9" w14:paraId="548E2B7A" w14:textId="77777777" w:rsidTr="00A83C17">
              <w:trPr>
                <w:trHeight w:val="108"/>
              </w:trPr>
              <w:tc>
                <w:tcPr>
                  <w:tcW w:w="2789" w:type="dxa"/>
                  <w:tcBorders>
                    <w:top w:val="nil"/>
                    <w:left w:val="nil"/>
                    <w:bottom w:val="nil"/>
                    <w:right w:val="nil"/>
                  </w:tcBorders>
                  <w:shd w:val="clear" w:color="auto" w:fill="auto"/>
                  <w:vAlign w:val="center"/>
                  <w:hideMark/>
                </w:tcPr>
                <w:p w14:paraId="22E47861" w14:textId="5A6791F8" w:rsidR="005B1231" w:rsidRPr="00700FE0" w:rsidRDefault="005B1231" w:rsidP="005B1231">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Non-current asset</w:t>
                  </w:r>
                </w:p>
              </w:tc>
              <w:tc>
                <w:tcPr>
                  <w:tcW w:w="2159" w:type="dxa"/>
                  <w:tcBorders>
                    <w:top w:val="nil"/>
                    <w:left w:val="nil"/>
                    <w:bottom w:val="nil"/>
                    <w:right w:val="nil"/>
                  </w:tcBorders>
                  <w:shd w:val="clear" w:color="auto" w:fill="auto"/>
                  <w:vAlign w:val="center"/>
                  <w:hideMark/>
                </w:tcPr>
                <w:p w14:paraId="31EAED71" w14:textId="3F47F9B9"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rPr>
                    <w:t>2</w:t>
                  </w:r>
                  <w:r w:rsidRPr="00700FE0">
                    <w:rPr>
                      <w:rFonts w:ascii="Arial" w:eastAsia="Times New Roman" w:hAnsi="Arial" w:cs="Arial"/>
                      <w:sz w:val="20"/>
                      <w:szCs w:val="20"/>
                      <w:lang w:val="en-US"/>
                    </w:rPr>
                    <w:t>2</w:t>
                  </w:r>
                  <w:r w:rsidRPr="00700FE0">
                    <w:rPr>
                      <w:rFonts w:ascii="Arial" w:eastAsia="Times New Roman" w:hAnsi="Arial" w:cs="Arial"/>
                      <w:sz w:val="20"/>
                      <w:szCs w:val="20"/>
                    </w:rPr>
                    <w:t>,</w:t>
                  </w:r>
                  <w:r w:rsidRPr="00700FE0">
                    <w:rPr>
                      <w:rFonts w:ascii="Arial" w:eastAsia="Times New Roman" w:hAnsi="Arial" w:cs="Arial"/>
                      <w:sz w:val="20"/>
                      <w:szCs w:val="20"/>
                      <w:lang w:val="en-US"/>
                    </w:rPr>
                    <w:t>452</w:t>
                  </w:r>
                  <w:r w:rsidRPr="00700FE0">
                    <w:rPr>
                      <w:rFonts w:ascii="Arial" w:eastAsia="Times New Roman" w:hAnsi="Arial" w:cs="Arial"/>
                      <w:sz w:val="20"/>
                      <w:szCs w:val="20"/>
                    </w:rPr>
                    <w:t>,</w:t>
                  </w:r>
                  <w:r w:rsidRPr="00700FE0">
                    <w:rPr>
                      <w:rFonts w:ascii="Arial" w:eastAsia="Times New Roman" w:hAnsi="Arial" w:cs="Arial"/>
                      <w:sz w:val="20"/>
                      <w:szCs w:val="20"/>
                      <w:lang w:val="en-US"/>
                    </w:rPr>
                    <w:t>015</w:t>
                  </w:r>
                  <w:r w:rsidRPr="00700FE0">
                    <w:rPr>
                      <w:rFonts w:ascii="Arial" w:eastAsia="Times New Roman" w:hAnsi="Arial" w:cs="Arial"/>
                      <w:sz w:val="20"/>
                      <w:szCs w:val="20"/>
                    </w:rPr>
                    <w:t>,</w:t>
                  </w:r>
                  <w:r w:rsidRPr="00700FE0">
                    <w:rPr>
                      <w:rFonts w:ascii="Arial" w:eastAsia="Times New Roman" w:hAnsi="Arial" w:cs="Arial"/>
                      <w:sz w:val="20"/>
                      <w:szCs w:val="20"/>
                      <w:lang w:val="en-US"/>
                    </w:rPr>
                    <w:t>473</w:t>
                  </w:r>
                  <w:r w:rsidRPr="00700FE0">
                    <w:rPr>
                      <w:rFonts w:ascii="Arial" w:eastAsia="Times New Roman" w:hAnsi="Arial" w:cs="Arial"/>
                      <w:sz w:val="20"/>
                      <w:szCs w:val="20"/>
                    </w:rPr>
                    <w:t>.</w:t>
                  </w:r>
                  <w:r w:rsidRPr="00700FE0">
                    <w:rPr>
                      <w:rFonts w:ascii="Arial" w:eastAsia="Times New Roman" w:hAnsi="Arial" w:cs="Arial"/>
                      <w:sz w:val="20"/>
                      <w:szCs w:val="20"/>
                      <w:lang w:val="en-US"/>
                    </w:rPr>
                    <w:t>10</w:t>
                  </w:r>
                </w:p>
              </w:tc>
              <w:tc>
                <w:tcPr>
                  <w:tcW w:w="2249" w:type="dxa"/>
                  <w:tcBorders>
                    <w:top w:val="nil"/>
                    <w:left w:val="nil"/>
                    <w:bottom w:val="nil"/>
                    <w:right w:val="nil"/>
                  </w:tcBorders>
                  <w:shd w:val="clear" w:color="auto" w:fill="auto"/>
                  <w:vAlign w:val="center"/>
                </w:tcPr>
                <w:p w14:paraId="1CA3D77A" w14:textId="37015981"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22,163,452,442.64</w:t>
                  </w:r>
                </w:p>
              </w:tc>
            </w:tr>
            <w:tr w:rsidR="005B1231" w:rsidRPr="00EB2AD9" w14:paraId="586C10F6" w14:textId="77777777" w:rsidTr="00A83C17">
              <w:trPr>
                <w:trHeight w:val="108"/>
              </w:trPr>
              <w:tc>
                <w:tcPr>
                  <w:tcW w:w="2789" w:type="dxa"/>
                  <w:tcBorders>
                    <w:top w:val="nil"/>
                    <w:left w:val="nil"/>
                    <w:bottom w:val="nil"/>
                    <w:right w:val="nil"/>
                  </w:tcBorders>
                  <w:shd w:val="clear" w:color="auto" w:fill="auto"/>
                  <w:vAlign w:val="center"/>
                  <w:hideMark/>
                </w:tcPr>
                <w:p w14:paraId="6D26BE16" w14:textId="093CD1B9" w:rsidR="005B1231" w:rsidRPr="00700FE0" w:rsidRDefault="005B1231" w:rsidP="005B1231">
                  <w:pPr>
                    <w:spacing w:after="0" w:line="240" w:lineRule="auto"/>
                    <w:rPr>
                      <w:rFonts w:ascii="Arial" w:eastAsia="Times New Roman" w:hAnsi="Arial" w:cs="Arial"/>
                      <w:b/>
                      <w:bCs/>
                      <w:sz w:val="20"/>
                      <w:szCs w:val="20"/>
                    </w:rPr>
                  </w:pPr>
                  <w:r w:rsidRPr="00700FE0">
                    <w:rPr>
                      <w:rFonts w:ascii="Arial" w:eastAsia="Times New Roman" w:hAnsi="Arial" w:cs="Arial"/>
                      <w:b/>
                      <w:bCs/>
                      <w:sz w:val="20"/>
                      <w:szCs w:val="20"/>
                      <w:lang w:val="en-US"/>
                    </w:rPr>
                    <w:t>TOTAL ASSETS</w:t>
                  </w:r>
                </w:p>
              </w:tc>
              <w:tc>
                <w:tcPr>
                  <w:tcW w:w="2159" w:type="dxa"/>
                  <w:tcBorders>
                    <w:top w:val="nil"/>
                    <w:left w:val="nil"/>
                    <w:bottom w:val="nil"/>
                    <w:right w:val="nil"/>
                  </w:tcBorders>
                  <w:shd w:val="clear" w:color="auto" w:fill="auto"/>
                  <w:vAlign w:val="center"/>
                  <w:hideMark/>
                </w:tcPr>
                <w:p w14:paraId="025738DF" w14:textId="7F8C6C6B" w:rsidR="005B1231" w:rsidRPr="00700FE0" w:rsidRDefault="005B1231" w:rsidP="005B1231">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927</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294</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910</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630</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15</w:t>
                  </w:r>
                </w:p>
              </w:tc>
              <w:tc>
                <w:tcPr>
                  <w:tcW w:w="2249" w:type="dxa"/>
                  <w:tcBorders>
                    <w:top w:val="nil"/>
                    <w:left w:val="nil"/>
                    <w:bottom w:val="nil"/>
                    <w:right w:val="nil"/>
                  </w:tcBorders>
                  <w:shd w:val="clear" w:color="auto" w:fill="auto"/>
                  <w:vAlign w:val="center"/>
                </w:tcPr>
                <w:p w14:paraId="672D859F" w14:textId="2D78B6A6" w:rsidR="005B1231" w:rsidRPr="00700FE0" w:rsidRDefault="005B1231" w:rsidP="005B1231">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1,083,729,569,753.75</w:t>
                  </w:r>
                </w:p>
              </w:tc>
            </w:tr>
            <w:tr w:rsidR="005B1231" w:rsidRPr="00EB2AD9" w14:paraId="20A16C15" w14:textId="77777777" w:rsidTr="00A83C17">
              <w:trPr>
                <w:trHeight w:val="108"/>
              </w:trPr>
              <w:tc>
                <w:tcPr>
                  <w:tcW w:w="2789" w:type="dxa"/>
                  <w:tcBorders>
                    <w:top w:val="nil"/>
                    <w:left w:val="nil"/>
                    <w:bottom w:val="nil"/>
                    <w:right w:val="nil"/>
                  </w:tcBorders>
                  <w:shd w:val="clear" w:color="auto" w:fill="auto"/>
                  <w:vAlign w:val="center"/>
                  <w:hideMark/>
                </w:tcPr>
                <w:p w14:paraId="44D382EF" w14:textId="10E5497D" w:rsidR="005B1231" w:rsidRPr="00700FE0" w:rsidRDefault="005B1231" w:rsidP="005B1231">
                  <w:pPr>
                    <w:spacing w:after="0" w:line="240" w:lineRule="auto"/>
                    <w:rPr>
                      <w:rFonts w:ascii="Arial" w:eastAsia="Times New Roman" w:hAnsi="Arial" w:cs="Arial"/>
                      <w:b/>
                      <w:bCs/>
                      <w:sz w:val="20"/>
                      <w:szCs w:val="20"/>
                    </w:rPr>
                  </w:pPr>
                  <w:r w:rsidRPr="00700FE0">
                    <w:rPr>
                      <w:rFonts w:ascii="Arial" w:eastAsia="Times New Roman" w:hAnsi="Arial" w:cs="Arial"/>
                      <w:b/>
                      <w:bCs/>
                      <w:sz w:val="20"/>
                      <w:szCs w:val="20"/>
                      <w:lang w:val="en-US"/>
                    </w:rPr>
                    <w:t>LIABILITIES AND EQUITY</w:t>
                  </w:r>
                </w:p>
              </w:tc>
              <w:tc>
                <w:tcPr>
                  <w:tcW w:w="2159" w:type="dxa"/>
                  <w:tcBorders>
                    <w:top w:val="nil"/>
                    <w:left w:val="nil"/>
                    <w:bottom w:val="nil"/>
                    <w:right w:val="nil"/>
                  </w:tcBorders>
                  <w:shd w:val="clear" w:color="auto" w:fill="auto"/>
                  <w:vAlign w:val="center"/>
                  <w:hideMark/>
                </w:tcPr>
                <w:p w14:paraId="0152F54D" w14:textId="77777777" w:rsidR="005B1231" w:rsidRPr="00700FE0" w:rsidRDefault="005B1231" w:rsidP="005B1231">
                  <w:pPr>
                    <w:spacing w:after="0" w:line="240" w:lineRule="auto"/>
                    <w:jc w:val="right"/>
                    <w:rPr>
                      <w:rFonts w:ascii="Arial" w:eastAsia="Times New Roman" w:hAnsi="Arial" w:cs="Arial"/>
                      <w:b/>
                      <w:bCs/>
                      <w:sz w:val="20"/>
                      <w:szCs w:val="20"/>
                    </w:rPr>
                  </w:pPr>
                </w:p>
              </w:tc>
              <w:tc>
                <w:tcPr>
                  <w:tcW w:w="2249" w:type="dxa"/>
                  <w:tcBorders>
                    <w:top w:val="nil"/>
                    <w:left w:val="nil"/>
                    <w:bottom w:val="nil"/>
                    <w:right w:val="nil"/>
                  </w:tcBorders>
                  <w:shd w:val="clear" w:color="auto" w:fill="auto"/>
                  <w:vAlign w:val="center"/>
                </w:tcPr>
                <w:p w14:paraId="669942B8" w14:textId="77777777" w:rsidR="005B1231" w:rsidRPr="00700FE0" w:rsidRDefault="005B1231" w:rsidP="005B1231">
                  <w:pPr>
                    <w:spacing w:after="0" w:line="240" w:lineRule="auto"/>
                    <w:jc w:val="right"/>
                    <w:rPr>
                      <w:rFonts w:ascii="Arial" w:eastAsia="Times New Roman" w:hAnsi="Arial" w:cs="Arial"/>
                      <w:sz w:val="20"/>
                      <w:szCs w:val="20"/>
                    </w:rPr>
                  </w:pPr>
                </w:p>
              </w:tc>
            </w:tr>
            <w:tr w:rsidR="005B1231" w:rsidRPr="00EB2AD9" w14:paraId="1FA7CDE7" w14:textId="77777777" w:rsidTr="00A83C17">
              <w:trPr>
                <w:trHeight w:val="108"/>
              </w:trPr>
              <w:tc>
                <w:tcPr>
                  <w:tcW w:w="2789" w:type="dxa"/>
                  <w:tcBorders>
                    <w:top w:val="nil"/>
                    <w:left w:val="nil"/>
                    <w:bottom w:val="nil"/>
                    <w:right w:val="nil"/>
                  </w:tcBorders>
                  <w:shd w:val="clear" w:color="auto" w:fill="auto"/>
                  <w:vAlign w:val="center"/>
                  <w:hideMark/>
                </w:tcPr>
                <w:p w14:paraId="6BBC1B65" w14:textId="22579773" w:rsidR="005B1231" w:rsidRPr="00700FE0" w:rsidRDefault="005B1231" w:rsidP="005B1231">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Short term liability</w:t>
                  </w:r>
                </w:p>
              </w:tc>
              <w:tc>
                <w:tcPr>
                  <w:tcW w:w="2159" w:type="dxa"/>
                  <w:tcBorders>
                    <w:top w:val="nil"/>
                    <w:left w:val="nil"/>
                    <w:bottom w:val="nil"/>
                    <w:right w:val="nil"/>
                  </w:tcBorders>
                  <w:shd w:val="clear" w:color="auto" w:fill="auto"/>
                  <w:vAlign w:val="center"/>
                  <w:hideMark/>
                </w:tcPr>
                <w:p w14:paraId="2A73F39E" w14:textId="484B65BB"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881</w:t>
                  </w:r>
                  <w:r w:rsidRPr="00700FE0">
                    <w:rPr>
                      <w:rFonts w:ascii="Arial" w:eastAsia="Times New Roman" w:hAnsi="Arial" w:cs="Arial"/>
                      <w:sz w:val="20"/>
                      <w:szCs w:val="20"/>
                    </w:rPr>
                    <w:t>,</w:t>
                  </w:r>
                  <w:r w:rsidRPr="00700FE0">
                    <w:rPr>
                      <w:rFonts w:ascii="Arial" w:eastAsia="Times New Roman" w:hAnsi="Arial" w:cs="Arial"/>
                      <w:sz w:val="20"/>
                      <w:szCs w:val="20"/>
                      <w:lang w:val="en-US"/>
                    </w:rPr>
                    <w:t>588</w:t>
                  </w:r>
                  <w:r w:rsidRPr="00700FE0">
                    <w:rPr>
                      <w:rFonts w:ascii="Arial" w:eastAsia="Times New Roman" w:hAnsi="Arial" w:cs="Arial"/>
                      <w:sz w:val="20"/>
                      <w:szCs w:val="20"/>
                    </w:rPr>
                    <w:t>,</w:t>
                  </w:r>
                  <w:r w:rsidRPr="00700FE0">
                    <w:rPr>
                      <w:rFonts w:ascii="Arial" w:eastAsia="Times New Roman" w:hAnsi="Arial" w:cs="Arial"/>
                      <w:sz w:val="20"/>
                      <w:szCs w:val="20"/>
                      <w:lang w:val="en-US"/>
                    </w:rPr>
                    <w:t>538,249</w:t>
                  </w:r>
                  <w:r w:rsidRPr="00700FE0">
                    <w:rPr>
                      <w:rFonts w:ascii="Arial" w:eastAsia="Times New Roman" w:hAnsi="Arial" w:cs="Arial"/>
                      <w:sz w:val="20"/>
                      <w:szCs w:val="20"/>
                    </w:rPr>
                    <w:t>.</w:t>
                  </w:r>
                  <w:r w:rsidRPr="00700FE0">
                    <w:rPr>
                      <w:rFonts w:ascii="Arial" w:eastAsia="Times New Roman" w:hAnsi="Arial" w:cs="Arial"/>
                      <w:sz w:val="20"/>
                      <w:szCs w:val="20"/>
                      <w:lang w:val="en-US"/>
                    </w:rPr>
                    <w:t>72</w:t>
                  </w:r>
                </w:p>
              </w:tc>
              <w:tc>
                <w:tcPr>
                  <w:tcW w:w="2249" w:type="dxa"/>
                  <w:tcBorders>
                    <w:top w:val="nil"/>
                    <w:left w:val="nil"/>
                    <w:bottom w:val="nil"/>
                    <w:right w:val="nil"/>
                  </w:tcBorders>
                  <w:shd w:val="clear" w:color="auto" w:fill="auto"/>
                  <w:vAlign w:val="center"/>
                </w:tcPr>
                <w:p w14:paraId="3D55CD0A" w14:textId="5C4FE2CE"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1,024,570,003,695.24</w:t>
                  </w:r>
                </w:p>
              </w:tc>
            </w:tr>
            <w:tr w:rsidR="005B1231" w:rsidRPr="00EB2AD9" w14:paraId="4D5280F9" w14:textId="77777777" w:rsidTr="00A83C17">
              <w:trPr>
                <w:trHeight w:val="108"/>
              </w:trPr>
              <w:tc>
                <w:tcPr>
                  <w:tcW w:w="2789" w:type="dxa"/>
                  <w:tcBorders>
                    <w:top w:val="nil"/>
                    <w:left w:val="nil"/>
                    <w:bottom w:val="nil"/>
                    <w:right w:val="nil"/>
                  </w:tcBorders>
                  <w:shd w:val="clear" w:color="auto" w:fill="auto"/>
                  <w:vAlign w:val="center"/>
                  <w:hideMark/>
                </w:tcPr>
                <w:p w14:paraId="0392E586" w14:textId="32321FF5" w:rsidR="005B1231" w:rsidRPr="00700FE0" w:rsidRDefault="005B1231" w:rsidP="005B1231">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Long term liability</w:t>
                  </w:r>
                </w:p>
              </w:tc>
              <w:tc>
                <w:tcPr>
                  <w:tcW w:w="2159" w:type="dxa"/>
                  <w:tcBorders>
                    <w:top w:val="nil"/>
                    <w:left w:val="nil"/>
                    <w:bottom w:val="nil"/>
                    <w:right w:val="nil"/>
                  </w:tcBorders>
                  <w:shd w:val="clear" w:color="auto" w:fill="auto"/>
                  <w:vAlign w:val="center"/>
                  <w:hideMark/>
                </w:tcPr>
                <w:p w14:paraId="357BE78C" w14:textId="4B2E8820" w:rsidR="005B1231" w:rsidRPr="00700FE0" w:rsidRDefault="005B1231" w:rsidP="005B1231">
                  <w:pPr>
                    <w:spacing w:after="0" w:line="240" w:lineRule="auto"/>
                    <w:jc w:val="right"/>
                    <w:rPr>
                      <w:rFonts w:ascii="Arial" w:eastAsia="Times New Roman" w:hAnsi="Arial" w:cs="Arial"/>
                      <w:sz w:val="20"/>
                      <w:szCs w:val="20"/>
                    </w:rPr>
                  </w:pPr>
                  <w:r w:rsidRPr="00700FE0">
                    <w:rPr>
                      <w:rFonts w:ascii="Arial" w:eastAsia="Times New Roman" w:hAnsi="Arial" w:cs="Arial"/>
                      <w:sz w:val="20"/>
                      <w:szCs w:val="20"/>
                      <w:lang w:val="en-US"/>
                    </w:rPr>
                    <w:t>1,626,561,592.92</w:t>
                  </w:r>
                </w:p>
              </w:tc>
              <w:tc>
                <w:tcPr>
                  <w:tcW w:w="2249" w:type="dxa"/>
                  <w:tcBorders>
                    <w:top w:val="nil"/>
                    <w:left w:val="nil"/>
                    <w:bottom w:val="nil"/>
                    <w:right w:val="nil"/>
                  </w:tcBorders>
                  <w:shd w:val="clear" w:color="auto" w:fill="auto"/>
                  <w:vAlign w:val="center"/>
                </w:tcPr>
                <w:p w14:paraId="6D6EC398" w14:textId="1BD69720"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1,583,107,263.63</w:t>
                  </w:r>
                </w:p>
              </w:tc>
            </w:tr>
            <w:tr w:rsidR="005B1231" w:rsidRPr="00EB2AD9" w14:paraId="7BB8D8FF" w14:textId="77777777" w:rsidTr="00A83C17">
              <w:trPr>
                <w:trHeight w:val="108"/>
              </w:trPr>
              <w:tc>
                <w:tcPr>
                  <w:tcW w:w="2789" w:type="dxa"/>
                  <w:tcBorders>
                    <w:top w:val="nil"/>
                    <w:left w:val="nil"/>
                    <w:bottom w:val="nil"/>
                    <w:right w:val="nil"/>
                  </w:tcBorders>
                  <w:shd w:val="clear" w:color="auto" w:fill="auto"/>
                  <w:vAlign w:val="center"/>
                  <w:hideMark/>
                </w:tcPr>
                <w:p w14:paraId="712AB9E1" w14:textId="6075F20A" w:rsidR="005B1231" w:rsidRPr="00700FE0" w:rsidRDefault="005B1231" w:rsidP="005B1231">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Equity</w:t>
                  </w:r>
                </w:p>
              </w:tc>
              <w:tc>
                <w:tcPr>
                  <w:tcW w:w="2159" w:type="dxa"/>
                  <w:tcBorders>
                    <w:top w:val="nil"/>
                    <w:left w:val="nil"/>
                    <w:bottom w:val="nil"/>
                    <w:right w:val="nil"/>
                  </w:tcBorders>
                  <w:shd w:val="clear" w:color="auto" w:fill="auto"/>
                  <w:vAlign w:val="center"/>
                  <w:hideMark/>
                </w:tcPr>
                <w:p w14:paraId="0F29DC62" w14:textId="5AB61355"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44</w:t>
                  </w:r>
                  <w:r w:rsidRPr="00700FE0">
                    <w:rPr>
                      <w:rFonts w:ascii="Arial" w:eastAsia="Times New Roman" w:hAnsi="Arial" w:cs="Arial"/>
                      <w:sz w:val="20"/>
                      <w:szCs w:val="20"/>
                    </w:rPr>
                    <w:t>,</w:t>
                  </w:r>
                  <w:r w:rsidRPr="00700FE0">
                    <w:rPr>
                      <w:rFonts w:ascii="Arial" w:eastAsia="Times New Roman" w:hAnsi="Arial" w:cs="Arial"/>
                      <w:sz w:val="20"/>
                      <w:szCs w:val="20"/>
                      <w:lang w:val="en-US"/>
                    </w:rPr>
                    <w:t>079</w:t>
                  </w:r>
                  <w:r w:rsidRPr="00700FE0">
                    <w:rPr>
                      <w:rFonts w:ascii="Arial" w:eastAsia="Times New Roman" w:hAnsi="Arial" w:cs="Arial"/>
                      <w:sz w:val="20"/>
                      <w:szCs w:val="20"/>
                    </w:rPr>
                    <w:t>,</w:t>
                  </w:r>
                  <w:r w:rsidRPr="00700FE0">
                    <w:rPr>
                      <w:rFonts w:ascii="Arial" w:eastAsia="Times New Roman" w:hAnsi="Arial" w:cs="Arial"/>
                      <w:sz w:val="20"/>
                      <w:szCs w:val="20"/>
                      <w:lang w:val="en-US"/>
                    </w:rPr>
                    <w:t>810,787</w:t>
                  </w:r>
                  <w:r w:rsidRPr="00700FE0">
                    <w:rPr>
                      <w:rFonts w:ascii="Arial" w:eastAsia="Times New Roman" w:hAnsi="Arial" w:cs="Arial"/>
                      <w:sz w:val="20"/>
                      <w:szCs w:val="20"/>
                    </w:rPr>
                    <w:t>.</w:t>
                  </w:r>
                  <w:r w:rsidRPr="00700FE0">
                    <w:rPr>
                      <w:rFonts w:ascii="Arial" w:eastAsia="Times New Roman" w:hAnsi="Arial" w:cs="Arial"/>
                      <w:sz w:val="20"/>
                      <w:szCs w:val="20"/>
                      <w:lang w:val="en-US"/>
                    </w:rPr>
                    <w:t>51</w:t>
                  </w:r>
                </w:p>
              </w:tc>
              <w:tc>
                <w:tcPr>
                  <w:tcW w:w="2249" w:type="dxa"/>
                  <w:tcBorders>
                    <w:top w:val="nil"/>
                    <w:left w:val="nil"/>
                    <w:bottom w:val="nil"/>
                    <w:right w:val="nil"/>
                  </w:tcBorders>
                  <w:shd w:val="clear" w:color="auto" w:fill="auto"/>
                  <w:vAlign w:val="center"/>
                </w:tcPr>
                <w:p w14:paraId="53F867F4" w14:textId="7CD0C80D"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57,576,458,794.88</w:t>
                  </w:r>
                </w:p>
              </w:tc>
            </w:tr>
            <w:tr w:rsidR="005B1231" w:rsidRPr="00EB2AD9" w14:paraId="1ACFE939" w14:textId="77777777" w:rsidTr="00A83C17">
              <w:trPr>
                <w:trHeight w:val="148"/>
              </w:trPr>
              <w:tc>
                <w:tcPr>
                  <w:tcW w:w="2789" w:type="dxa"/>
                  <w:tcBorders>
                    <w:top w:val="nil"/>
                    <w:left w:val="nil"/>
                    <w:bottom w:val="nil"/>
                    <w:right w:val="nil"/>
                  </w:tcBorders>
                  <w:shd w:val="clear" w:color="auto" w:fill="auto"/>
                  <w:vAlign w:val="center"/>
                  <w:hideMark/>
                </w:tcPr>
                <w:p w14:paraId="7D69BB46" w14:textId="70B8F4A4" w:rsidR="005B1231" w:rsidRPr="00700FE0" w:rsidRDefault="005B1231" w:rsidP="005B1231">
                  <w:pPr>
                    <w:spacing w:after="0" w:line="240" w:lineRule="auto"/>
                    <w:rPr>
                      <w:rFonts w:ascii="Arial" w:eastAsia="Times New Roman" w:hAnsi="Arial" w:cs="Arial"/>
                      <w:b/>
                      <w:bCs/>
                      <w:sz w:val="20"/>
                      <w:szCs w:val="20"/>
                    </w:rPr>
                  </w:pPr>
                  <w:r w:rsidRPr="00700FE0">
                    <w:rPr>
                      <w:rFonts w:ascii="Arial" w:eastAsia="Times New Roman" w:hAnsi="Arial" w:cs="Arial"/>
                      <w:b/>
                      <w:bCs/>
                      <w:sz w:val="20"/>
                      <w:szCs w:val="20"/>
                      <w:lang w:val="en-US"/>
                    </w:rPr>
                    <w:t>TOTAL LIABILITIES AND EQUITY</w:t>
                  </w:r>
                </w:p>
              </w:tc>
              <w:tc>
                <w:tcPr>
                  <w:tcW w:w="2159" w:type="dxa"/>
                  <w:tcBorders>
                    <w:top w:val="nil"/>
                    <w:left w:val="nil"/>
                    <w:bottom w:val="nil"/>
                    <w:right w:val="nil"/>
                  </w:tcBorders>
                  <w:shd w:val="clear" w:color="auto" w:fill="auto"/>
                  <w:vAlign w:val="center"/>
                  <w:hideMark/>
                </w:tcPr>
                <w:p w14:paraId="5C426A62" w14:textId="6EB5438A" w:rsidR="005B1231" w:rsidRPr="00700FE0" w:rsidRDefault="005B1231" w:rsidP="005B1231">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927</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294</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910</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630</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15</w:t>
                  </w:r>
                </w:p>
              </w:tc>
              <w:tc>
                <w:tcPr>
                  <w:tcW w:w="2249" w:type="dxa"/>
                  <w:tcBorders>
                    <w:top w:val="nil"/>
                    <w:left w:val="nil"/>
                    <w:bottom w:val="nil"/>
                    <w:right w:val="nil"/>
                  </w:tcBorders>
                  <w:shd w:val="clear" w:color="auto" w:fill="auto"/>
                  <w:vAlign w:val="center"/>
                </w:tcPr>
                <w:p w14:paraId="7AF8187A" w14:textId="4AF56A4C" w:rsidR="005B1231" w:rsidRPr="00700FE0" w:rsidRDefault="005B1231" w:rsidP="005B1231">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1,083,729,569,753.75</w:t>
                  </w:r>
                </w:p>
              </w:tc>
            </w:tr>
          </w:tbl>
          <w:p w14:paraId="5759832C" w14:textId="77777777" w:rsidR="00C15312" w:rsidRPr="00EB2AD9" w:rsidRDefault="00C15312" w:rsidP="00C15312">
            <w:pPr>
              <w:spacing w:after="0" w:line="240" w:lineRule="auto"/>
              <w:rPr>
                <w:rFonts w:ascii="Arial" w:hAnsi="Arial" w:cs="Arial"/>
                <w:b/>
                <w:bCs/>
                <w:i/>
                <w:iCs/>
                <w:sz w:val="22"/>
              </w:rPr>
            </w:pPr>
            <w:r w:rsidRPr="00EB2AD9">
              <w:rPr>
                <w:rFonts w:ascii="Arial" w:eastAsia="Times New Roman" w:hAnsi="Arial" w:cs="Arial"/>
                <w:i/>
                <w:iCs/>
                <w:color w:val="000000"/>
                <w:sz w:val="22"/>
                <w:lang w:eastAsia="mn-MN"/>
              </w:rPr>
              <w:t> </w:t>
            </w:r>
          </w:p>
          <w:p w14:paraId="23DF5FE9" w14:textId="5D7EBAC3" w:rsidR="00C15312" w:rsidRPr="00EB2AD9" w:rsidRDefault="00C15312" w:rsidP="00C15312">
            <w:pPr>
              <w:spacing w:after="0" w:line="240" w:lineRule="auto"/>
              <w:rPr>
                <w:rFonts w:ascii="Arial" w:eastAsia="Times New Roman" w:hAnsi="Arial" w:cs="Arial"/>
                <w:i/>
                <w:iCs/>
                <w:color w:val="000000"/>
                <w:sz w:val="22"/>
                <w:lang w:eastAsia="mn-MN"/>
              </w:rPr>
            </w:pPr>
          </w:p>
        </w:tc>
      </w:tr>
      <w:tr w:rsidR="00C15312" w:rsidRPr="00EB2AD9" w14:paraId="17CB8C45" w14:textId="77777777" w:rsidTr="008F6A3F">
        <w:trPr>
          <w:trHeight w:val="1160"/>
        </w:trPr>
        <w:tc>
          <w:tcPr>
            <w:tcW w:w="3150" w:type="dxa"/>
            <w:gridSpan w:val="3"/>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hideMark/>
          </w:tcPr>
          <w:p w14:paraId="0264A7C8" w14:textId="0E65F817" w:rsidR="00C15312" w:rsidRPr="00EB2AD9" w:rsidRDefault="005B1231" w:rsidP="00A47432">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Income statement</w:t>
            </w:r>
          </w:p>
        </w:tc>
        <w:tc>
          <w:tcPr>
            <w:tcW w:w="7560" w:type="dxa"/>
            <w:tcBorders>
              <w:top w:val="nil"/>
              <w:left w:val="nil"/>
              <w:bottom w:val="single" w:sz="4" w:space="0" w:color="auto"/>
              <w:right w:val="single" w:sz="4" w:space="0" w:color="auto"/>
            </w:tcBorders>
            <w:shd w:val="clear" w:color="auto" w:fill="FFFFFF" w:themeFill="background1"/>
            <w:hideMark/>
          </w:tcPr>
          <w:tbl>
            <w:tblPr>
              <w:tblpPr w:leftFromText="180" w:rightFromText="180" w:vertAnchor="text" w:horzAnchor="page" w:tblpX="183" w:tblpY="72"/>
              <w:tblOverlap w:val="never"/>
              <w:tblW w:w="7200" w:type="dxa"/>
              <w:tblLayout w:type="fixed"/>
              <w:tblLook w:val="04A0" w:firstRow="1" w:lastRow="0" w:firstColumn="1" w:lastColumn="0" w:noHBand="0" w:noVBand="1"/>
            </w:tblPr>
            <w:tblGrid>
              <w:gridCol w:w="2790"/>
              <w:gridCol w:w="2160"/>
              <w:gridCol w:w="2250"/>
            </w:tblGrid>
            <w:tr w:rsidR="00C15312" w:rsidRPr="00F7153C" w14:paraId="66CF142F" w14:textId="77777777" w:rsidTr="00A83C17">
              <w:trPr>
                <w:trHeight w:val="406"/>
              </w:trPr>
              <w:tc>
                <w:tcPr>
                  <w:tcW w:w="2790" w:type="dxa"/>
                  <w:tcBorders>
                    <w:top w:val="single" w:sz="4" w:space="0" w:color="auto"/>
                    <w:left w:val="nil"/>
                    <w:bottom w:val="single" w:sz="4" w:space="0" w:color="auto"/>
                    <w:right w:val="nil"/>
                  </w:tcBorders>
                  <w:shd w:val="clear" w:color="000000" w:fill="FFFFFF"/>
                  <w:vAlign w:val="center"/>
                  <w:hideMark/>
                </w:tcPr>
                <w:p w14:paraId="5BCBB885" w14:textId="2E74C55D" w:rsidR="00C15312" w:rsidRPr="00700FE0" w:rsidRDefault="005B1231" w:rsidP="00C15312">
                  <w:pPr>
                    <w:spacing w:after="0" w:line="240" w:lineRule="auto"/>
                    <w:jc w:val="center"/>
                    <w:rPr>
                      <w:rFonts w:ascii="Arial" w:eastAsia="Times New Roman" w:hAnsi="Arial" w:cs="Arial"/>
                      <w:b/>
                      <w:bCs/>
                      <w:sz w:val="20"/>
                      <w:szCs w:val="20"/>
                    </w:rPr>
                  </w:pPr>
                  <w:r w:rsidRPr="00700FE0">
                    <w:rPr>
                      <w:rFonts w:ascii="Arial" w:eastAsia="Times New Roman" w:hAnsi="Arial" w:cs="Arial"/>
                      <w:b/>
                      <w:bCs/>
                      <w:sz w:val="20"/>
                      <w:szCs w:val="20"/>
                    </w:rPr>
                    <w:t>Items</w:t>
                  </w:r>
                </w:p>
              </w:tc>
              <w:tc>
                <w:tcPr>
                  <w:tcW w:w="2160" w:type="dxa"/>
                  <w:tcBorders>
                    <w:top w:val="single" w:sz="4" w:space="0" w:color="auto"/>
                    <w:left w:val="nil"/>
                    <w:bottom w:val="single" w:sz="4" w:space="0" w:color="auto"/>
                    <w:right w:val="nil"/>
                  </w:tcBorders>
                  <w:shd w:val="clear" w:color="000000" w:fill="FFFFFF"/>
                  <w:vAlign w:val="center"/>
                  <w:hideMark/>
                </w:tcPr>
                <w:p w14:paraId="3172BD01" w14:textId="63589D3F" w:rsidR="00C15312" w:rsidRPr="00700FE0" w:rsidRDefault="00C15312" w:rsidP="00C15312">
                  <w:pPr>
                    <w:spacing w:after="0" w:line="240" w:lineRule="auto"/>
                    <w:jc w:val="center"/>
                    <w:rPr>
                      <w:rFonts w:ascii="Arial" w:eastAsia="Times New Roman" w:hAnsi="Arial" w:cs="Arial"/>
                      <w:b/>
                      <w:bCs/>
                      <w:sz w:val="20"/>
                      <w:szCs w:val="20"/>
                      <w:lang w:val="en-US"/>
                    </w:rPr>
                  </w:pPr>
                  <w:r w:rsidRPr="00700FE0">
                    <w:rPr>
                      <w:rFonts w:ascii="Arial" w:eastAsia="Times New Roman" w:hAnsi="Arial" w:cs="Arial"/>
                      <w:b/>
                      <w:bCs/>
                      <w:sz w:val="20"/>
                      <w:szCs w:val="20"/>
                    </w:rPr>
                    <w:t>1/1/202</w:t>
                  </w:r>
                  <w:r w:rsidRPr="00700FE0">
                    <w:rPr>
                      <w:rFonts w:ascii="Arial" w:eastAsia="Times New Roman" w:hAnsi="Arial" w:cs="Arial"/>
                      <w:b/>
                      <w:bCs/>
                      <w:sz w:val="20"/>
                      <w:szCs w:val="20"/>
                      <w:lang w:val="en-US"/>
                    </w:rPr>
                    <w:t>4</w:t>
                  </w:r>
                </w:p>
              </w:tc>
              <w:tc>
                <w:tcPr>
                  <w:tcW w:w="2250" w:type="dxa"/>
                  <w:tcBorders>
                    <w:top w:val="single" w:sz="4" w:space="0" w:color="auto"/>
                    <w:left w:val="nil"/>
                    <w:bottom w:val="single" w:sz="4" w:space="0" w:color="auto"/>
                    <w:right w:val="nil"/>
                  </w:tcBorders>
                  <w:shd w:val="clear" w:color="000000" w:fill="FFFFFF"/>
                  <w:vAlign w:val="center"/>
                  <w:hideMark/>
                </w:tcPr>
                <w:p w14:paraId="19C99E6A" w14:textId="3DAAE1F4" w:rsidR="00C15312" w:rsidRPr="00700FE0" w:rsidRDefault="00C15312" w:rsidP="00C15312">
                  <w:pPr>
                    <w:spacing w:after="0" w:line="240" w:lineRule="auto"/>
                    <w:jc w:val="center"/>
                    <w:rPr>
                      <w:rFonts w:ascii="Arial" w:eastAsia="Times New Roman" w:hAnsi="Arial" w:cs="Arial"/>
                      <w:b/>
                      <w:bCs/>
                      <w:sz w:val="20"/>
                      <w:szCs w:val="20"/>
                      <w:lang w:val="en-US"/>
                    </w:rPr>
                  </w:pPr>
                  <w:r w:rsidRPr="00700FE0">
                    <w:rPr>
                      <w:rFonts w:ascii="Arial" w:eastAsia="Times New Roman" w:hAnsi="Arial" w:cs="Arial"/>
                      <w:b/>
                      <w:bCs/>
                      <w:sz w:val="20"/>
                      <w:szCs w:val="20"/>
                    </w:rPr>
                    <w:t>06/</w:t>
                  </w:r>
                  <w:r w:rsidR="00CF294D" w:rsidRPr="00700FE0">
                    <w:rPr>
                      <w:rFonts w:ascii="Arial" w:eastAsia="Times New Roman" w:hAnsi="Arial" w:cs="Arial"/>
                      <w:b/>
                      <w:bCs/>
                      <w:sz w:val="20"/>
                      <w:szCs w:val="20"/>
                    </w:rPr>
                    <w:t>28</w:t>
                  </w:r>
                  <w:r w:rsidRPr="00700FE0">
                    <w:rPr>
                      <w:rFonts w:ascii="Arial" w:eastAsia="Times New Roman" w:hAnsi="Arial" w:cs="Arial"/>
                      <w:b/>
                      <w:bCs/>
                      <w:sz w:val="20"/>
                      <w:szCs w:val="20"/>
                    </w:rPr>
                    <w:t>/202</w:t>
                  </w:r>
                  <w:r w:rsidRPr="00700FE0">
                    <w:rPr>
                      <w:rFonts w:ascii="Arial" w:eastAsia="Times New Roman" w:hAnsi="Arial" w:cs="Arial"/>
                      <w:b/>
                      <w:bCs/>
                      <w:sz w:val="20"/>
                      <w:szCs w:val="20"/>
                      <w:lang w:val="en-US"/>
                    </w:rPr>
                    <w:t>4</w:t>
                  </w:r>
                </w:p>
              </w:tc>
            </w:tr>
            <w:tr w:rsidR="005B1231" w:rsidRPr="00F7153C" w14:paraId="512227B1" w14:textId="77777777" w:rsidTr="00A83C17">
              <w:trPr>
                <w:trHeight w:val="246"/>
              </w:trPr>
              <w:tc>
                <w:tcPr>
                  <w:tcW w:w="2790" w:type="dxa"/>
                  <w:tcBorders>
                    <w:top w:val="nil"/>
                    <w:left w:val="nil"/>
                    <w:bottom w:val="nil"/>
                    <w:right w:val="nil"/>
                  </w:tcBorders>
                  <w:shd w:val="clear" w:color="auto" w:fill="auto"/>
                  <w:vAlign w:val="center"/>
                  <w:hideMark/>
                </w:tcPr>
                <w:p w14:paraId="31463A73" w14:textId="50BBE49D" w:rsidR="005B1231" w:rsidRPr="00700FE0" w:rsidRDefault="005B1231" w:rsidP="005B1231">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Net sales revenue</w:t>
                  </w:r>
                </w:p>
              </w:tc>
              <w:tc>
                <w:tcPr>
                  <w:tcW w:w="2160" w:type="dxa"/>
                  <w:tcBorders>
                    <w:top w:val="nil"/>
                    <w:left w:val="nil"/>
                    <w:bottom w:val="nil"/>
                    <w:right w:val="nil"/>
                  </w:tcBorders>
                  <w:shd w:val="clear" w:color="auto" w:fill="auto"/>
                  <w:vAlign w:val="center"/>
                  <w:hideMark/>
                </w:tcPr>
                <w:p w14:paraId="6E3D0C6A" w14:textId="709491D4"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16</w:t>
                  </w:r>
                  <w:r w:rsidRPr="00700FE0">
                    <w:rPr>
                      <w:rFonts w:ascii="Arial" w:eastAsia="Times New Roman" w:hAnsi="Arial" w:cs="Arial"/>
                      <w:sz w:val="20"/>
                      <w:szCs w:val="20"/>
                    </w:rPr>
                    <w:t>,</w:t>
                  </w:r>
                  <w:r w:rsidRPr="00700FE0">
                    <w:rPr>
                      <w:rFonts w:ascii="Arial" w:eastAsia="Times New Roman" w:hAnsi="Arial" w:cs="Arial"/>
                      <w:sz w:val="20"/>
                      <w:szCs w:val="20"/>
                      <w:lang w:val="en-US"/>
                    </w:rPr>
                    <w:t>709</w:t>
                  </w:r>
                  <w:r w:rsidRPr="00700FE0">
                    <w:rPr>
                      <w:rFonts w:ascii="Arial" w:eastAsia="Times New Roman" w:hAnsi="Arial" w:cs="Arial"/>
                      <w:sz w:val="20"/>
                      <w:szCs w:val="20"/>
                    </w:rPr>
                    <w:t>,</w:t>
                  </w:r>
                  <w:r w:rsidRPr="00700FE0">
                    <w:rPr>
                      <w:rFonts w:ascii="Arial" w:eastAsia="Times New Roman" w:hAnsi="Arial" w:cs="Arial"/>
                      <w:sz w:val="20"/>
                      <w:szCs w:val="20"/>
                      <w:lang w:val="en-US"/>
                    </w:rPr>
                    <w:t>471</w:t>
                  </w:r>
                  <w:r w:rsidRPr="00700FE0">
                    <w:rPr>
                      <w:rFonts w:ascii="Arial" w:eastAsia="Times New Roman" w:hAnsi="Arial" w:cs="Arial"/>
                      <w:sz w:val="20"/>
                      <w:szCs w:val="20"/>
                    </w:rPr>
                    <w:t>,</w:t>
                  </w:r>
                  <w:r w:rsidRPr="00700FE0">
                    <w:rPr>
                      <w:rFonts w:ascii="Arial" w:eastAsia="Times New Roman" w:hAnsi="Arial" w:cs="Arial"/>
                      <w:sz w:val="20"/>
                      <w:szCs w:val="20"/>
                      <w:lang w:val="en-US"/>
                    </w:rPr>
                    <w:t>639</w:t>
                  </w:r>
                  <w:r w:rsidRPr="00700FE0">
                    <w:rPr>
                      <w:rFonts w:ascii="Arial" w:eastAsia="Times New Roman" w:hAnsi="Arial" w:cs="Arial"/>
                      <w:sz w:val="20"/>
                      <w:szCs w:val="20"/>
                    </w:rPr>
                    <w:t>.</w:t>
                  </w:r>
                  <w:r w:rsidRPr="00700FE0">
                    <w:rPr>
                      <w:rFonts w:ascii="Arial" w:eastAsia="Times New Roman" w:hAnsi="Arial" w:cs="Arial"/>
                      <w:sz w:val="20"/>
                      <w:szCs w:val="20"/>
                      <w:lang w:val="en-US"/>
                    </w:rPr>
                    <w:t>67</w:t>
                  </w:r>
                </w:p>
              </w:tc>
              <w:tc>
                <w:tcPr>
                  <w:tcW w:w="2250" w:type="dxa"/>
                  <w:tcBorders>
                    <w:top w:val="nil"/>
                    <w:left w:val="nil"/>
                    <w:bottom w:val="nil"/>
                    <w:right w:val="nil"/>
                  </w:tcBorders>
                  <w:shd w:val="clear" w:color="auto" w:fill="auto"/>
                  <w:vAlign w:val="center"/>
                  <w:hideMark/>
                </w:tcPr>
                <w:p w14:paraId="37123904" w14:textId="751A69DF"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23,933,444,561.53</w:t>
                  </w:r>
                </w:p>
              </w:tc>
            </w:tr>
            <w:tr w:rsidR="005B1231" w:rsidRPr="00F7153C" w14:paraId="1D46A5FB" w14:textId="77777777" w:rsidTr="00A83C17">
              <w:trPr>
                <w:trHeight w:val="246"/>
              </w:trPr>
              <w:tc>
                <w:tcPr>
                  <w:tcW w:w="2790" w:type="dxa"/>
                  <w:tcBorders>
                    <w:top w:val="nil"/>
                    <w:left w:val="nil"/>
                    <w:bottom w:val="nil"/>
                    <w:right w:val="nil"/>
                  </w:tcBorders>
                  <w:shd w:val="clear" w:color="auto" w:fill="auto"/>
                  <w:vAlign w:val="center"/>
                  <w:hideMark/>
                </w:tcPr>
                <w:p w14:paraId="265997F4" w14:textId="12BBFB5B" w:rsidR="005B1231" w:rsidRPr="00700FE0" w:rsidRDefault="005B1231" w:rsidP="005B1231">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Cost of sales</w:t>
                  </w:r>
                </w:p>
              </w:tc>
              <w:tc>
                <w:tcPr>
                  <w:tcW w:w="2160" w:type="dxa"/>
                  <w:tcBorders>
                    <w:top w:val="nil"/>
                    <w:left w:val="nil"/>
                    <w:bottom w:val="nil"/>
                    <w:right w:val="nil"/>
                  </w:tcBorders>
                  <w:shd w:val="clear" w:color="auto" w:fill="auto"/>
                  <w:vAlign w:val="center"/>
                  <w:hideMark/>
                </w:tcPr>
                <w:p w14:paraId="56273FA2" w14:textId="77777777" w:rsidR="005B1231" w:rsidRPr="00700FE0" w:rsidRDefault="005B1231" w:rsidP="005B1231">
                  <w:pPr>
                    <w:spacing w:after="0" w:line="240" w:lineRule="auto"/>
                    <w:jc w:val="right"/>
                    <w:rPr>
                      <w:rFonts w:ascii="Arial" w:eastAsia="Times New Roman" w:hAnsi="Arial" w:cs="Arial"/>
                      <w:sz w:val="20"/>
                      <w:szCs w:val="20"/>
                    </w:rPr>
                  </w:pPr>
                </w:p>
              </w:tc>
              <w:tc>
                <w:tcPr>
                  <w:tcW w:w="2250" w:type="dxa"/>
                  <w:tcBorders>
                    <w:top w:val="nil"/>
                    <w:left w:val="nil"/>
                    <w:bottom w:val="nil"/>
                    <w:right w:val="nil"/>
                  </w:tcBorders>
                  <w:shd w:val="clear" w:color="auto" w:fill="auto"/>
                  <w:vAlign w:val="center"/>
                  <w:hideMark/>
                </w:tcPr>
                <w:p w14:paraId="3AC11B72" w14:textId="77777777" w:rsidR="005B1231" w:rsidRPr="00700FE0" w:rsidRDefault="005B1231" w:rsidP="005B1231">
                  <w:pPr>
                    <w:spacing w:after="0" w:line="240" w:lineRule="auto"/>
                    <w:jc w:val="right"/>
                    <w:rPr>
                      <w:rFonts w:ascii="Arial" w:eastAsia="Times New Roman" w:hAnsi="Arial" w:cs="Arial"/>
                      <w:sz w:val="20"/>
                      <w:szCs w:val="20"/>
                    </w:rPr>
                  </w:pPr>
                </w:p>
              </w:tc>
            </w:tr>
            <w:tr w:rsidR="005B1231" w:rsidRPr="00F7153C" w14:paraId="1AB13536" w14:textId="77777777" w:rsidTr="00A83C17">
              <w:trPr>
                <w:trHeight w:val="246"/>
              </w:trPr>
              <w:tc>
                <w:tcPr>
                  <w:tcW w:w="2790" w:type="dxa"/>
                  <w:tcBorders>
                    <w:top w:val="nil"/>
                    <w:left w:val="nil"/>
                    <w:bottom w:val="nil"/>
                    <w:right w:val="nil"/>
                  </w:tcBorders>
                  <w:shd w:val="clear" w:color="auto" w:fill="auto"/>
                  <w:vAlign w:val="center"/>
                  <w:hideMark/>
                </w:tcPr>
                <w:p w14:paraId="3A5A3F30" w14:textId="1E861425" w:rsidR="005B1231" w:rsidRPr="00700FE0" w:rsidRDefault="005B1231" w:rsidP="005B1231">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Total revenue</w:t>
                  </w:r>
                  <w:r w:rsidRPr="00700FE0">
                    <w:rPr>
                      <w:rFonts w:ascii="Arial" w:eastAsia="Times New Roman" w:hAnsi="Arial" w:cs="Arial"/>
                      <w:sz w:val="20"/>
                      <w:szCs w:val="20"/>
                    </w:rPr>
                    <w:t>(</w:t>
                  </w:r>
                  <w:r w:rsidRPr="00700FE0">
                    <w:rPr>
                      <w:rFonts w:ascii="Arial" w:eastAsia="Times New Roman" w:hAnsi="Arial" w:cs="Arial"/>
                      <w:sz w:val="20"/>
                      <w:szCs w:val="20"/>
                      <w:lang w:val="en-US"/>
                    </w:rPr>
                    <w:t>loss</w:t>
                  </w:r>
                  <w:r w:rsidRPr="00700FE0">
                    <w:rPr>
                      <w:rFonts w:ascii="Arial" w:eastAsia="Times New Roman" w:hAnsi="Arial" w:cs="Arial"/>
                      <w:sz w:val="20"/>
                      <w:szCs w:val="20"/>
                    </w:rPr>
                    <w:t>)</w:t>
                  </w:r>
                </w:p>
              </w:tc>
              <w:tc>
                <w:tcPr>
                  <w:tcW w:w="2160" w:type="dxa"/>
                  <w:tcBorders>
                    <w:top w:val="nil"/>
                    <w:left w:val="nil"/>
                    <w:bottom w:val="nil"/>
                    <w:right w:val="nil"/>
                  </w:tcBorders>
                  <w:shd w:val="clear" w:color="auto" w:fill="auto"/>
                  <w:vAlign w:val="center"/>
                  <w:hideMark/>
                </w:tcPr>
                <w:p w14:paraId="3336E656" w14:textId="52BECAE6" w:rsidR="005B1231" w:rsidRPr="00700FE0" w:rsidRDefault="005B1231" w:rsidP="005B1231">
                  <w:pPr>
                    <w:spacing w:after="0" w:line="240" w:lineRule="auto"/>
                    <w:jc w:val="right"/>
                    <w:rPr>
                      <w:rFonts w:ascii="Arial" w:eastAsia="Times New Roman" w:hAnsi="Arial" w:cs="Arial"/>
                      <w:sz w:val="20"/>
                      <w:szCs w:val="20"/>
                    </w:rPr>
                  </w:pPr>
                  <w:r w:rsidRPr="00700FE0">
                    <w:rPr>
                      <w:rFonts w:ascii="Arial" w:eastAsia="Times New Roman" w:hAnsi="Arial" w:cs="Arial"/>
                      <w:sz w:val="20"/>
                      <w:szCs w:val="20"/>
                      <w:lang w:val="en-US"/>
                    </w:rPr>
                    <w:t>16</w:t>
                  </w:r>
                  <w:r w:rsidRPr="00700FE0">
                    <w:rPr>
                      <w:rFonts w:ascii="Arial" w:eastAsia="Times New Roman" w:hAnsi="Arial" w:cs="Arial"/>
                      <w:sz w:val="20"/>
                      <w:szCs w:val="20"/>
                    </w:rPr>
                    <w:t>,</w:t>
                  </w:r>
                  <w:r w:rsidRPr="00700FE0">
                    <w:rPr>
                      <w:rFonts w:ascii="Arial" w:eastAsia="Times New Roman" w:hAnsi="Arial" w:cs="Arial"/>
                      <w:sz w:val="20"/>
                      <w:szCs w:val="20"/>
                      <w:lang w:val="en-US"/>
                    </w:rPr>
                    <w:t>709</w:t>
                  </w:r>
                  <w:r w:rsidRPr="00700FE0">
                    <w:rPr>
                      <w:rFonts w:ascii="Arial" w:eastAsia="Times New Roman" w:hAnsi="Arial" w:cs="Arial"/>
                      <w:sz w:val="20"/>
                      <w:szCs w:val="20"/>
                    </w:rPr>
                    <w:t>,</w:t>
                  </w:r>
                  <w:r w:rsidRPr="00700FE0">
                    <w:rPr>
                      <w:rFonts w:ascii="Arial" w:eastAsia="Times New Roman" w:hAnsi="Arial" w:cs="Arial"/>
                      <w:sz w:val="20"/>
                      <w:szCs w:val="20"/>
                      <w:lang w:val="en-US"/>
                    </w:rPr>
                    <w:t>471</w:t>
                  </w:r>
                  <w:r w:rsidRPr="00700FE0">
                    <w:rPr>
                      <w:rFonts w:ascii="Arial" w:eastAsia="Times New Roman" w:hAnsi="Arial" w:cs="Arial"/>
                      <w:sz w:val="20"/>
                      <w:szCs w:val="20"/>
                    </w:rPr>
                    <w:t>,</w:t>
                  </w:r>
                  <w:r w:rsidRPr="00700FE0">
                    <w:rPr>
                      <w:rFonts w:ascii="Arial" w:eastAsia="Times New Roman" w:hAnsi="Arial" w:cs="Arial"/>
                      <w:sz w:val="20"/>
                      <w:szCs w:val="20"/>
                      <w:lang w:val="en-US"/>
                    </w:rPr>
                    <w:t>639</w:t>
                  </w:r>
                  <w:r w:rsidRPr="00700FE0">
                    <w:rPr>
                      <w:rFonts w:ascii="Arial" w:eastAsia="Times New Roman" w:hAnsi="Arial" w:cs="Arial"/>
                      <w:sz w:val="20"/>
                      <w:szCs w:val="20"/>
                    </w:rPr>
                    <w:t>.</w:t>
                  </w:r>
                  <w:r w:rsidRPr="00700FE0">
                    <w:rPr>
                      <w:rFonts w:ascii="Arial" w:eastAsia="Times New Roman" w:hAnsi="Arial" w:cs="Arial"/>
                      <w:sz w:val="20"/>
                      <w:szCs w:val="20"/>
                      <w:lang w:val="en-US"/>
                    </w:rPr>
                    <w:t>67</w:t>
                  </w:r>
                </w:p>
              </w:tc>
              <w:tc>
                <w:tcPr>
                  <w:tcW w:w="2250" w:type="dxa"/>
                  <w:tcBorders>
                    <w:top w:val="nil"/>
                    <w:left w:val="nil"/>
                    <w:bottom w:val="nil"/>
                    <w:right w:val="nil"/>
                  </w:tcBorders>
                  <w:shd w:val="clear" w:color="auto" w:fill="auto"/>
                  <w:vAlign w:val="center"/>
                </w:tcPr>
                <w:p w14:paraId="5C2F392C" w14:textId="0BFBA773"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23,933,444,561.53</w:t>
                  </w:r>
                </w:p>
              </w:tc>
            </w:tr>
            <w:tr w:rsidR="005B1231" w:rsidRPr="00F7153C" w14:paraId="36156CCF" w14:textId="77777777" w:rsidTr="00A83C17">
              <w:trPr>
                <w:trHeight w:val="246"/>
              </w:trPr>
              <w:tc>
                <w:tcPr>
                  <w:tcW w:w="2790" w:type="dxa"/>
                  <w:tcBorders>
                    <w:top w:val="nil"/>
                    <w:left w:val="nil"/>
                    <w:bottom w:val="nil"/>
                    <w:right w:val="nil"/>
                  </w:tcBorders>
                  <w:shd w:val="clear" w:color="auto" w:fill="auto"/>
                  <w:vAlign w:val="center"/>
                  <w:hideMark/>
                </w:tcPr>
                <w:p w14:paraId="1B53257F" w14:textId="24C5ECD3" w:rsidR="005B1231" w:rsidRPr="00700FE0" w:rsidRDefault="00F7153C" w:rsidP="005B1231">
                  <w:pPr>
                    <w:spacing w:after="0" w:line="240" w:lineRule="auto"/>
                    <w:rPr>
                      <w:rFonts w:ascii="Arial" w:eastAsia="Times New Roman" w:hAnsi="Arial" w:cs="Arial"/>
                      <w:b/>
                      <w:bCs/>
                      <w:sz w:val="20"/>
                      <w:szCs w:val="20"/>
                    </w:rPr>
                  </w:pPr>
                  <w:r>
                    <w:rPr>
                      <w:rFonts w:ascii="Arial" w:eastAsia="Times New Roman" w:hAnsi="Arial" w:cs="Arial"/>
                      <w:b/>
                      <w:bCs/>
                      <w:sz w:val="20"/>
                      <w:szCs w:val="20"/>
                      <w:lang w:val="en-US"/>
                    </w:rPr>
                    <w:t xml:space="preserve">Earning </w:t>
                  </w:r>
                  <w:r w:rsidR="005B1231" w:rsidRPr="00700FE0">
                    <w:rPr>
                      <w:rFonts w:ascii="Arial" w:eastAsia="Times New Roman" w:hAnsi="Arial" w:cs="Arial"/>
                      <w:b/>
                      <w:bCs/>
                      <w:sz w:val="20"/>
                      <w:szCs w:val="20"/>
                    </w:rPr>
                    <w:t>(</w:t>
                  </w:r>
                  <w:r w:rsidR="005B1231" w:rsidRPr="00700FE0">
                    <w:rPr>
                      <w:rFonts w:ascii="Arial" w:eastAsia="Times New Roman" w:hAnsi="Arial" w:cs="Arial"/>
                      <w:b/>
                      <w:bCs/>
                      <w:sz w:val="20"/>
                      <w:szCs w:val="20"/>
                      <w:lang w:val="en-US"/>
                    </w:rPr>
                    <w:t>loss</w:t>
                  </w:r>
                  <w:r w:rsidR="005B1231" w:rsidRPr="00700FE0">
                    <w:rPr>
                      <w:rFonts w:ascii="Arial" w:eastAsia="Times New Roman" w:hAnsi="Arial" w:cs="Arial"/>
                      <w:b/>
                      <w:bCs/>
                      <w:sz w:val="20"/>
                      <w:szCs w:val="20"/>
                    </w:rPr>
                    <w:t>)</w:t>
                  </w:r>
                  <w:r w:rsidR="005B1231" w:rsidRPr="00700FE0">
                    <w:rPr>
                      <w:rFonts w:ascii="Arial" w:eastAsia="Times New Roman" w:hAnsi="Arial" w:cs="Arial"/>
                      <w:b/>
                      <w:bCs/>
                      <w:sz w:val="20"/>
                      <w:szCs w:val="20"/>
                      <w:lang w:val="en-US"/>
                    </w:rPr>
                    <w:t xml:space="preserve"> before tax</w:t>
                  </w:r>
                </w:p>
              </w:tc>
              <w:tc>
                <w:tcPr>
                  <w:tcW w:w="2160" w:type="dxa"/>
                  <w:tcBorders>
                    <w:top w:val="nil"/>
                    <w:left w:val="nil"/>
                    <w:bottom w:val="nil"/>
                    <w:right w:val="nil"/>
                  </w:tcBorders>
                  <w:shd w:val="clear" w:color="auto" w:fill="auto"/>
                  <w:vAlign w:val="center"/>
                  <w:hideMark/>
                </w:tcPr>
                <w:p w14:paraId="5FD23A8C" w14:textId="0409DBEE" w:rsidR="005B1231" w:rsidRPr="00700FE0" w:rsidRDefault="005B1231" w:rsidP="005B1231">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 xml:space="preserve"> 10,337</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515</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816.10</w:t>
                  </w:r>
                </w:p>
              </w:tc>
              <w:tc>
                <w:tcPr>
                  <w:tcW w:w="2250" w:type="dxa"/>
                  <w:tcBorders>
                    <w:top w:val="nil"/>
                    <w:left w:val="nil"/>
                    <w:bottom w:val="nil"/>
                    <w:right w:val="nil"/>
                  </w:tcBorders>
                  <w:shd w:val="clear" w:color="auto" w:fill="auto"/>
                  <w:vAlign w:val="center"/>
                </w:tcPr>
                <w:p w14:paraId="1F1CFCA8" w14:textId="280C4729" w:rsidR="005B1231" w:rsidRPr="00700FE0" w:rsidRDefault="005B1231" w:rsidP="005B1231">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19,830,583,412.04</w:t>
                  </w:r>
                </w:p>
              </w:tc>
            </w:tr>
            <w:tr w:rsidR="005B1231" w:rsidRPr="00F7153C" w14:paraId="0240702E" w14:textId="77777777" w:rsidTr="00A83C17">
              <w:trPr>
                <w:trHeight w:val="246"/>
              </w:trPr>
              <w:tc>
                <w:tcPr>
                  <w:tcW w:w="2790" w:type="dxa"/>
                  <w:tcBorders>
                    <w:top w:val="nil"/>
                    <w:left w:val="nil"/>
                    <w:bottom w:val="nil"/>
                    <w:right w:val="nil"/>
                  </w:tcBorders>
                  <w:shd w:val="clear" w:color="auto" w:fill="auto"/>
                  <w:vAlign w:val="center"/>
                  <w:hideMark/>
                </w:tcPr>
                <w:p w14:paraId="6EFC0861" w14:textId="757B421E" w:rsidR="005B1231" w:rsidRPr="00700FE0" w:rsidRDefault="005B1231" w:rsidP="005B1231">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Income tax expense</w:t>
                  </w:r>
                </w:p>
              </w:tc>
              <w:tc>
                <w:tcPr>
                  <w:tcW w:w="2160" w:type="dxa"/>
                  <w:tcBorders>
                    <w:top w:val="nil"/>
                    <w:left w:val="nil"/>
                    <w:bottom w:val="nil"/>
                    <w:right w:val="nil"/>
                  </w:tcBorders>
                  <w:shd w:val="clear" w:color="auto" w:fill="auto"/>
                  <w:vAlign w:val="center"/>
                  <w:hideMark/>
                </w:tcPr>
                <w:p w14:paraId="55DA6081" w14:textId="0C72560C"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1,029</w:t>
                  </w:r>
                  <w:r w:rsidRPr="00700FE0">
                    <w:rPr>
                      <w:rFonts w:ascii="Arial" w:eastAsia="Times New Roman" w:hAnsi="Arial" w:cs="Arial"/>
                      <w:sz w:val="20"/>
                      <w:szCs w:val="20"/>
                    </w:rPr>
                    <w:t>,</w:t>
                  </w:r>
                  <w:r w:rsidRPr="00700FE0">
                    <w:rPr>
                      <w:rFonts w:ascii="Arial" w:eastAsia="Times New Roman" w:hAnsi="Arial" w:cs="Arial"/>
                      <w:sz w:val="20"/>
                      <w:szCs w:val="20"/>
                      <w:lang w:val="en-US"/>
                    </w:rPr>
                    <w:t>799</w:t>
                  </w:r>
                  <w:r w:rsidRPr="00700FE0">
                    <w:rPr>
                      <w:rFonts w:ascii="Arial" w:eastAsia="Times New Roman" w:hAnsi="Arial" w:cs="Arial"/>
                      <w:sz w:val="20"/>
                      <w:szCs w:val="20"/>
                    </w:rPr>
                    <w:t>,</w:t>
                  </w:r>
                  <w:r w:rsidRPr="00700FE0">
                    <w:rPr>
                      <w:rFonts w:ascii="Arial" w:eastAsia="Times New Roman" w:hAnsi="Arial" w:cs="Arial"/>
                      <w:sz w:val="20"/>
                      <w:szCs w:val="20"/>
                      <w:lang w:val="en-US"/>
                    </w:rPr>
                    <w:t>778</w:t>
                  </w:r>
                  <w:r w:rsidRPr="00700FE0">
                    <w:rPr>
                      <w:rFonts w:ascii="Arial" w:eastAsia="Times New Roman" w:hAnsi="Arial" w:cs="Arial"/>
                      <w:sz w:val="20"/>
                      <w:szCs w:val="20"/>
                    </w:rPr>
                    <w:t>.</w:t>
                  </w:r>
                  <w:r w:rsidRPr="00700FE0">
                    <w:rPr>
                      <w:rFonts w:ascii="Arial" w:eastAsia="Times New Roman" w:hAnsi="Arial" w:cs="Arial"/>
                      <w:sz w:val="20"/>
                      <w:szCs w:val="20"/>
                      <w:lang w:val="en-US"/>
                    </w:rPr>
                    <w:t>87</w:t>
                  </w:r>
                </w:p>
              </w:tc>
              <w:tc>
                <w:tcPr>
                  <w:tcW w:w="2250" w:type="dxa"/>
                  <w:tcBorders>
                    <w:top w:val="nil"/>
                    <w:left w:val="nil"/>
                    <w:bottom w:val="nil"/>
                    <w:right w:val="nil"/>
                  </w:tcBorders>
                  <w:shd w:val="clear" w:color="auto" w:fill="auto"/>
                  <w:noWrap/>
                  <w:vAlign w:val="center"/>
                </w:tcPr>
                <w:p w14:paraId="35B52B07" w14:textId="260CBA29" w:rsidR="005B1231" w:rsidRPr="00700FE0" w:rsidRDefault="005B1231" w:rsidP="005B1231">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1,984,721,003.55</w:t>
                  </w:r>
                </w:p>
              </w:tc>
            </w:tr>
            <w:tr w:rsidR="005B1231" w:rsidRPr="00F7153C" w14:paraId="2992E473" w14:textId="77777777" w:rsidTr="00A83C17">
              <w:trPr>
                <w:trHeight w:val="246"/>
              </w:trPr>
              <w:tc>
                <w:tcPr>
                  <w:tcW w:w="2790" w:type="dxa"/>
                  <w:tcBorders>
                    <w:top w:val="nil"/>
                    <w:left w:val="nil"/>
                    <w:bottom w:val="nil"/>
                    <w:right w:val="nil"/>
                  </w:tcBorders>
                  <w:shd w:val="clear" w:color="auto" w:fill="auto"/>
                  <w:vAlign w:val="center"/>
                  <w:hideMark/>
                </w:tcPr>
                <w:p w14:paraId="7D1C56DF" w14:textId="581B1ED6" w:rsidR="005B1231" w:rsidRPr="00700FE0" w:rsidRDefault="005B1231" w:rsidP="005B1231">
                  <w:pPr>
                    <w:spacing w:after="0" w:line="240" w:lineRule="auto"/>
                    <w:rPr>
                      <w:rFonts w:ascii="Arial" w:eastAsia="Times New Roman" w:hAnsi="Arial" w:cs="Arial"/>
                      <w:b/>
                      <w:bCs/>
                      <w:sz w:val="20"/>
                      <w:szCs w:val="20"/>
                    </w:rPr>
                  </w:pPr>
                  <w:r w:rsidRPr="00700FE0">
                    <w:rPr>
                      <w:rFonts w:ascii="Arial" w:eastAsia="Times New Roman" w:hAnsi="Arial" w:cs="Arial"/>
                      <w:b/>
                      <w:bCs/>
                      <w:sz w:val="20"/>
                      <w:szCs w:val="20"/>
                      <w:lang w:val="en-US"/>
                    </w:rPr>
                    <w:t xml:space="preserve">Net </w:t>
                  </w:r>
                  <w:r w:rsidR="00AD0142">
                    <w:rPr>
                      <w:rFonts w:ascii="Arial" w:eastAsia="Times New Roman" w:hAnsi="Arial" w:cs="Arial"/>
                      <w:b/>
                      <w:bCs/>
                      <w:sz w:val="20"/>
                      <w:szCs w:val="20"/>
                      <w:lang w:val="en-US"/>
                    </w:rPr>
                    <w:t xml:space="preserve">profit </w:t>
                  </w:r>
                </w:p>
              </w:tc>
              <w:tc>
                <w:tcPr>
                  <w:tcW w:w="2160" w:type="dxa"/>
                  <w:tcBorders>
                    <w:top w:val="nil"/>
                    <w:left w:val="nil"/>
                    <w:bottom w:val="nil"/>
                    <w:right w:val="nil"/>
                  </w:tcBorders>
                  <w:shd w:val="clear" w:color="auto" w:fill="auto"/>
                  <w:vAlign w:val="center"/>
                  <w:hideMark/>
                </w:tcPr>
                <w:p w14:paraId="433D91C4" w14:textId="0387F1F6" w:rsidR="005B1231" w:rsidRPr="00700FE0" w:rsidRDefault="005B1231" w:rsidP="005B1231">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9,307</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716</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037</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23</w:t>
                  </w:r>
                </w:p>
              </w:tc>
              <w:tc>
                <w:tcPr>
                  <w:tcW w:w="2250" w:type="dxa"/>
                  <w:tcBorders>
                    <w:top w:val="nil"/>
                    <w:left w:val="nil"/>
                    <w:bottom w:val="nil"/>
                    <w:right w:val="nil"/>
                  </w:tcBorders>
                  <w:shd w:val="clear" w:color="auto" w:fill="auto"/>
                  <w:vAlign w:val="center"/>
                </w:tcPr>
                <w:p w14:paraId="2C0DD436" w14:textId="430FB0B0" w:rsidR="005B1231" w:rsidRPr="00700FE0" w:rsidRDefault="005B1231" w:rsidP="005B1231">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17,845,862,408.49</w:t>
                  </w:r>
                </w:p>
              </w:tc>
            </w:tr>
            <w:tr w:rsidR="005B1231" w:rsidRPr="00F7153C" w14:paraId="3291E476" w14:textId="77777777" w:rsidTr="00A83C17">
              <w:trPr>
                <w:trHeight w:val="246"/>
              </w:trPr>
              <w:tc>
                <w:tcPr>
                  <w:tcW w:w="2790" w:type="dxa"/>
                  <w:tcBorders>
                    <w:top w:val="nil"/>
                    <w:left w:val="nil"/>
                    <w:bottom w:val="nil"/>
                    <w:right w:val="nil"/>
                  </w:tcBorders>
                  <w:shd w:val="clear" w:color="auto" w:fill="auto"/>
                  <w:vAlign w:val="center"/>
                  <w:hideMark/>
                </w:tcPr>
                <w:p w14:paraId="0352D889" w14:textId="3173E32F" w:rsidR="005B1231" w:rsidRPr="00700FE0" w:rsidRDefault="005B1231" w:rsidP="005B1231">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Other comprehensive income</w:t>
                  </w:r>
                </w:p>
              </w:tc>
              <w:tc>
                <w:tcPr>
                  <w:tcW w:w="2160" w:type="dxa"/>
                  <w:tcBorders>
                    <w:top w:val="nil"/>
                    <w:left w:val="nil"/>
                    <w:bottom w:val="nil"/>
                    <w:right w:val="nil"/>
                  </w:tcBorders>
                  <w:shd w:val="clear" w:color="auto" w:fill="auto"/>
                  <w:vAlign w:val="center"/>
                  <w:hideMark/>
                </w:tcPr>
                <w:p w14:paraId="1C49C18F" w14:textId="77777777" w:rsidR="005B1231" w:rsidRPr="00700FE0" w:rsidRDefault="005B1231" w:rsidP="005B1231">
                  <w:pPr>
                    <w:spacing w:after="0" w:line="240" w:lineRule="auto"/>
                    <w:jc w:val="right"/>
                    <w:rPr>
                      <w:rFonts w:ascii="Arial" w:eastAsia="Times New Roman" w:hAnsi="Arial" w:cs="Arial"/>
                      <w:sz w:val="20"/>
                      <w:szCs w:val="20"/>
                    </w:rPr>
                  </w:pPr>
                </w:p>
              </w:tc>
              <w:tc>
                <w:tcPr>
                  <w:tcW w:w="2250" w:type="dxa"/>
                  <w:tcBorders>
                    <w:top w:val="nil"/>
                    <w:left w:val="nil"/>
                    <w:bottom w:val="nil"/>
                    <w:right w:val="nil"/>
                  </w:tcBorders>
                  <w:shd w:val="clear" w:color="auto" w:fill="auto"/>
                  <w:vAlign w:val="center"/>
                </w:tcPr>
                <w:p w14:paraId="549350DC" w14:textId="3ABC931C" w:rsidR="005B1231" w:rsidRPr="00700FE0" w:rsidRDefault="005B1231" w:rsidP="005B1231">
                  <w:pPr>
                    <w:spacing w:after="0" w:line="240" w:lineRule="auto"/>
                    <w:jc w:val="right"/>
                    <w:rPr>
                      <w:rFonts w:ascii="Arial" w:eastAsia="Times New Roman" w:hAnsi="Arial" w:cs="Arial"/>
                      <w:sz w:val="20"/>
                      <w:szCs w:val="20"/>
                    </w:rPr>
                  </w:pPr>
                </w:p>
              </w:tc>
            </w:tr>
            <w:tr w:rsidR="005B1231" w:rsidRPr="00F7153C" w14:paraId="6BC15D2E" w14:textId="77777777" w:rsidTr="00A83C17">
              <w:trPr>
                <w:trHeight w:val="246"/>
              </w:trPr>
              <w:tc>
                <w:tcPr>
                  <w:tcW w:w="2790" w:type="dxa"/>
                  <w:tcBorders>
                    <w:top w:val="nil"/>
                    <w:left w:val="nil"/>
                    <w:bottom w:val="nil"/>
                    <w:right w:val="nil"/>
                  </w:tcBorders>
                  <w:shd w:val="clear" w:color="auto" w:fill="auto"/>
                  <w:vAlign w:val="center"/>
                  <w:hideMark/>
                </w:tcPr>
                <w:p w14:paraId="21F642DC" w14:textId="23B39EBE" w:rsidR="005B1231" w:rsidRPr="00700FE0" w:rsidRDefault="005B1231" w:rsidP="005B1231">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lastRenderedPageBreak/>
                    <w:t>Revaluation of assets</w:t>
                  </w:r>
                </w:p>
              </w:tc>
              <w:tc>
                <w:tcPr>
                  <w:tcW w:w="2160" w:type="dxa"/>
                  <w:tcBorders>
                    <w:top w:val="nil"/>
                    <w:left w:val="nil"/>
                    <w:bottom w:val="nil"/>
                    <w:right w:val="nil"/>
                  </w:tcBorders>
                  <w:shd w:val="clear" w:color="auto" w:fill="auto"/>
                  <w:vAlign w:val="center"/>
                </w:tcPr>
                <w:p w14:paraId="7F6FAA0A" w14:textId="5CC79CC2" w:rsidR="005B1231" w:rsidRPr="00700FE0" w:rsidRDefault="005B1231" w:rsidP="005B1231">
                  <w:pPr>
                    <w:spacing w:after="0" w:line="240" w:lineRule="auto"/>
                    <w:jc w:val="right"/>
                    <w:rPr>
                      <w:rFonts w:ascii="Arial" w:eastAsia="Times New Roman" w:hAnsi="Arial" w:cs="Arial"/>
                      <w:sz w:val="20"/>
                      <w:szCs w:val="20"/>
                      <w:lang w:val="en-US"/>
                    </w:rPr>
                  </w:pPr>
                </w:p>
              </w:tc>
              <w:tc>
                <w:tcPr>
                  <w:tcW w:w="2250" w:type="dxa"/>
                  <w:tcBorders>
                    <w:top w:val="nil"/>
                    <w:left w:val="nil"/>
                    <w:bottom w:val="nil"/>
                    <w:right w:val="nil"/>
                  </w:tcBorders>
                  <w:shd w:val="clear" w:color="auto" w:fill="auto"/>
                  <w:vAlign w:val="center"/>
                </w:tcPr>
                <w:p w14:paraId="79DB43B5" w14:textId="6F646D8A" w:rsidR="005B1231" w:rsidRPr="00700FE0" w:rsidRDefault="005B1231" w:rsidP="005B1231">
                  <w:pPr>
                    <w:spacing w:after="0" w:line="240" w:lineRule="auto"/>
                    <w:jc w:val="right"/>
                    <w:rPr>
                      <w:rFonts w:ascii="Arial" w:eastAsia="Times New Roman" w:hAnsi="Arial" w:cs="Arial"/>
                      <w:sz w:val="20"/>
                      <w:szCs w:val="20"/>
                    </w:rPr>
                  </w:pPr>
                </w:p>
              </w:tc>
            </w:tr>
            <w:tr w:rsidR="005B1231" w:rsidRPr="00F7153C" w14:paraId="4AB732BF" w14:textId="77777777" w:rsidTr="00A83C17">
              <w:trPr>
                <w:trHeight w:val="246"/>
              </w:trPr>
              <w:tc>
                <w:tcPr>
                  <w:tcW w:w="2790" w:type="dxa"/>
                  <w:tcBorders>
                    <w:top w:val="nil"/>
                    <w:left w:val="nil"/>
                    <w:bottom w:val="nil"/>
                    <w:right w:val="nil"/>
                  </w:tcBorders>
                  <w:shd w:val="clear" w:color="auto" w:fill="auto"/>
                  <w:vAlign w:val="center"/>
                  <w:hideMark/>
                </w:tcPr>
                <w:p w14:paraId="7420933C" w14:textId="237ADCD3" w:rsidR="005B1231" w:rsidRPr="00700FE0" w:rsidRDefault="00AD0142" w:rsidP="005B1231">
                  <w:pPr>
                    <w:spacing w:after="0" w:line="240" w:lineRule="auto"/>
                    <w:rPr>
                      <w:rFonts w:ascii="Arial" w:eastAsia="Times New Roman" w:hAnsi="Arial" w:cs="Arial"/>
                      <w:b/>
                      <w:bCs/>
                      <w:sz w:val="20"/>
                      <w:szCs w:val="20"/>
                    </w:rPr>
                  </w:pPr>
                  <w:r>
                    <w:rPr>
                      <w:rFonts w:ascii="Arial" w:eastAsia="Times New Roman" w:hAnsi="Arial" w:cs="Arial"/>
                      <w:b/>
                      <w:bCs/>
                      <w:sz w:val="20"/>
                      <w:szCs w:val="20"/>
                      <w:lang w:val="en-US"/>
                    </w:rPr>
                    <w:t xml:space="preserve">Total income amount </w:t>
                  </w:r>
                </w:p>
              </w:tc>
              <w:tc>
                <w:tcPr>
                  <w:tcW w:w="2160" w:type="dxa"/>
                  <w:tcBorders>
                    <w:top w:val="nil"/>
                    <w:left w:val="nil"/>
                    <w:bottom w:val="nil"/>
                    <w:right w:val="nil"/>
                  </w:tcBorders>
                  <w:shd w:val="clear" w:color="auto" w:fill="auto"/>
                  <w:vAlign w:val="center"/>
                  <w:hideMark/>
                </w:tcPr>
                <w:p w14:paraId="20BD69CC" w14:textId="773A5A1F" w:rsidR="005B1231" w:rsidRPr="00700FE0" w:rsidRDefault="005B1231" w:rsidP="005B1231">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9,307</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716</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037</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23</w:t>
                  </w:r>
                </w:p>
              </w:tc>
              <w:tc>
                <w:tcPr>
                  <w:tcW w:w="2250" w:type="dxa"/>
                  <w:tcBorders>
                    <w:top w:val="nil"/>
                    <w:left w:val="nil"/>
                    <w:bottom w:val="nil"/>
                    <w:right w:val="nil"/>
                  </w:tcBorders>
                  <w:shd w:val="clear" w:color="auto" w:fill="auto"/>
                  <w:vAlign w:val="center"/>
                </w:tcPr>
                <w:p w14:paraId="1D907A79" w14:textId="62826D6E" w:rsidR="005B1231" w:rsidRPr="00700FE0" w:rsidRDefault="005B1231" w:rsidP="005B1231">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17,845,862,408.49</w:t>
                  </w:r>
                </w:p>
              </w:tc>
            </w:tr>
          </w:tbl>
          <w:p w14:paraId="1D37F54D" w14:textId="1BBEDA90" w:rsidR="00C15312" w:rsidRPr="00700FE0" w:rsidRDefault="00C15312" w:rsidP="00C15312">
            <w:pPr>
              <w:spacing w:after="0" w:line="240" w:lineRule="auto"/>
              <w:rPr>
                <w:rFonts w:ascii="Arial" w:hAnsi="Arial" w:cs="Arial"/>
                <w:i/>
                <w:iCs/>
                <w:sz w:val="20"/>
                <w:szCs w:val="20"/>
              </w:rPr>
            </w:pPr>
          </w:p>
          <w:p w14:paraId="6A8552EF" w14:textId="031B5549" w:rsidR="00C15312" w:rsidRPr="00700FE0" w:rsidRDefault="00C15312" w:rsidP="00C15312">
            <w:pPr>
              <w:spacing w:after="0" w:line="240" w:lineRule="auto"/>
              <w:rPr>
                <w:rFonts w:ascii="Arial" w:eastAsia="Times New Roman" w:hAnsi="Arial" w:cs="Arial"/>
                <w:i/>
                <w:iCs/>
                <w:color w:val="000000"/>
                <w:sz w:val="20"/>
                <w:szCs w:val="20"/>
                <w:lang w:eastAsia="mn-MN"/>
              </w:rPr>
            </w:pPr>
          </w:p>
        </w:tc>
      </w:tr>
      <w:tr w:rsidR="00C15312" w:rsidRPr="00EB2AD9" w14:paraId="2DC0FF4D" w14:textId="77777777" w:rsidTr="00A47432">
        <w:trPr>
          <w:trHeight w:val="722"/>
        </w:trPr>
        <w:tc>
          <w:tcPr>
            <w:tcW w:w="3150" w:type="dxa"/>
            <w:gridSpan w:val="3"/>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hideMark/>
          </w:tcPr>
          <w:p w14:paraId="7D814493" w14:textId="77777777" w:rsidR="005B1231" w:rsidRPr="00EB2AD9" w:rsidRDefault="005B1231" w:rsidP="005B1231">
            <w:pPr>
              <w:spacing w:after="0" w:line="240" w:lineRule="auto"/>
              <w:jc w:val="center"/>
              <w:rPr>
                <w:rFonts w:ascii="Arial" w:eastAsia="Times New Roman" w:hAnsi="Arial" w:cs="Arial"/>
                <w:i/>
                <w:iCs/>
                <w:color w:val="000000"/>
                <w:sz w:val="22"/>
                <w:lang w:eastAsia="mn-MN"/>
              </w:rPr>
            </w:pPr>
          </w:p>
          <w:p w14:paraId="76D0FDB1" w14:textId="6330C1E6" w:rsidR="00C15312" w:rsidRPr="00EB2AD9" w:rsidRDefault="005B1231" w:rsidP="005B1231">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Statement of changes in equity</w:t>
            </w:r>
          </w:p>
        </w:tc>
        <w:tc>
          <w:tcPr>
            <w:tcW w:w="7560" w:type="dxa"/>
            <w:tcBorders>
              <w:top w:val="nil"/>
              <w:left w:val="nil"/>
              <w:bottom w:val="single" w:sz="4" w:space="0" w:color="auto"/>
              <w:right w:val="single" w:sz="4" w:space="0" w:color="auto"/>
            </w:tcBorders>
            <w:shd w:val="clear" w:color="auto" w:fill="FFFFFF" w:themeFill="background1"/>
            <w:hideMark/>
          </w:tcPr>
          <w:tbl>
            <w:tblPr>
              <w:tblpPr w:leftFromText="180" w:rightFromText="180" w:vertAnchor="text" w:horzAnchor="page" w:tblpX="197" w:tblpY="-174"/>
              <w:tblOverlap w:val="never"/>
              <w:tblW w:w="7200" w:type="dxa"/>
              <w:tblLayout w:type="fixed"/>
              <w:tblCellMar>
                <w:left w:w="0" w:type="dxa"/>
                <w:right w:w="0" w:type="dxa"/>
              </w:tblCellMar>
              <w:tblLook w:val="04A0" w:firstRow="1" w:lastRow="0" w:firstColumn="1" w:lastColumn="0" w:noHBand="0" w:noVBand="1"/>
            </w:tblPr>
            <w:tblGrid>
              <w:gridCol w:w="2790"/>
              <w:gridCol w:w="2160"/>
              <w:gridCol w:w="2250"/>
            </w:tblGrid>
            <w:tr w:rsidR="00C15312" w:rsidRPr="00EB2AD9" w14:paraId="42663D7D" w14:textId="77777777" w:rsidTr="00F209AE">
              <w:trPr>
                <w:trHeight w:val="439"/>
              </w:trPr>
              <w:tc>
                <w:tcPr>
                  <w:tcW w:w="2790" w:type="dxa"/>
                  <w:tcBorders>
                    <w:top w:val="single" w:sz="4" w:space="0" w:color="auto"/>
                    <w:left w:val="nil"/>
                    <w:bottom w:val="single" w:sz="4" w:space="0" w:color="auto"/>
                    <w:right w:val="nil"/>
                  </w:tcBorders>
                  <w:shd w:val="clear" w:color="000000" w:fill="FFFFFF"/>
                  <w:vAlign w:val="center"/>
                  <w:hideMark/>
                </w:tcPr>
                <w:p w14:paraId="5BC317C3" w14:textId="2F8BD071" w:rsidR="00C15312" w:rsidRPr="00EB2AD9" w:rsidRDefault="005B1231" w:rsidP="00F209AE">
                  <w:pPr>
                    <w:spacing w:after="0"/>
                    <w:jc w:val="center"/>
                    <w:rPr>
                      <w:rFonts w:ascii="Arial" w:hAnsi="Arial" w:cs="Arial"/>
                      <w:b/>
                      <w:bCs/>
                      <w:sz w:val="22"/>
                    </w:rPr>
                  </w:pPr>
                  <w:r w:rsidRPr="00EB2AD9">
                    <w:rPr>
                      <w:rFonts w:ascii="Arial" w:hAnsi="Arial" w:cs="Arial"/>
                      <w:b/>
                      <w:bCs/>
                      <w:sz w:val="22"/>
                      <w:lang w:val="en-US"/>
                    </w:rPr>
                    <w:t>Items</w:t>
                  </w:r>
                </w:p>
              </w:tc>
              <w:tc>
                <w:tcPr>
                  <w:tcW w:w="2160" w:type="dxa"/>
                  <w:tcBorders>
                    <w:top w:val="single" w:sz="4" w:space="0" w:color="auto"/>
                    <w:left w:val="nil"/>
                    <w:bottom w:val="single" w:sz="4" w:space="0" w:color="auto"/>
                    <w:right w:val="nil"/>
                  </w:tcBorders>
                  <w:shd w:val="clear" w:color="000000" w:fill="FFFFFF"/>
                  <w:vAlign w:val="center"/>
                  <w:hideMark/>
                </w:tcPr>
                <w:p w14:paraId="667389C6" w14:textId="2D9D883F" w:rsidR="00C15312" w:rsidRPr="00EB2AD9" w:rsidRDefault="00C15312" w:rsidP="00F209AE">
                  <w:pPr>
                    <w:spacing w:after="0"/>
                    <w:jc w:val="center"/>
                    <w:rPr>
                      <w:rFonts w:ascii="Arial" w:hAnsi="Arial" w:cs="Arial"/>
                      <w:b/>
                      <w:bCs/>
                      <w:sz w:val="22"/>
                      <w:lang w:val="en-US"/>
                    </w:rPr>
                  </w:pPr>
                  <w:r w:rsidRPr="00EB2AD9">
                    <w:rPr>
                      <w:rFonts w:ascii="Arial" w:hAnsi="Arial" w:cs="Arial"/>
                      <w:b/>
                      <w:bCs/>
                      <w:sz w:val="22"/>
                    </w:rPr>
                    <w:t>1/1/202</w:t>
                  </w:r>
                  <w:r w:rsidRPr="00EB2AD9">
                    <w:rPr>
                      <w:rFonts w:ascii="Arial" w:hAnsi="Arial" w:cs="Arial"/>
                      <w:b/>
                      <w:bCs/>
                      <w:sz w:val="22"/>
                      <w:lang w:val="en-US"/>
                    </w:rPr>
                    <w:t>4</w:t>
                  </w:r>
                </w:p>
              </w:tc>
              <w:tc>
                <w:tcPr>
                  <w:tcW w:w="2250" w:type="dxa"/>
                  <w:tcBorders>
                    <w:top w:val="single" w:sz="4" w:space="0" w:color="auto"/>
                    <w:left w:val="nil"/>
                    <w:bottom w:val="single" w:sz="4" w:space="0" w:color="auto"/>
                    <w:right w:val="nil"/>
                  </w:tcBorders>
                  <w:shd w:val="clear" w:color="000000" w:fill="FFFFFF"/>
                  <w:vAlign w:val="center"/>
                  <w:hideMark/>
                </w:tcPr>
                <w:p w14:paraId="79796D62" w14:textId="7A1FB891" w:rsidR="00C15312" w:rsidRPr="00EB2AD9" w:rsidRDefault="00C15312" w:rsidP="00F209AE">
                  <w:pPr>
                    <w:spacing w:after="0"/>
                    <w:jc w:val="center"/>
                    <w:rPr>
                      <w:rFonts w:ascii="Arial" w:hAnsi="Arial" w:cs="Arial"/>
                      <w:b/>
                      <w:bCs/>
                      <w:sz w:val="22"/>
                      <w:lang w:val="en-US"/>
                    </w:rPr>
                  </w:pPr>
                  <w:r w:rsidRPr="00EB2AD9">
                    <w:rPr>
                      <w:rFonts w:ascii="Arial" w:hAnsi="Arial" w:cs="Arial"/>
                      <w:b/>
                      <w:bCs/>
                      <w:sz w:val="22"/>
                    </w:rPr>
                    <w:t>06/</w:t>
                  </w:r>
                  <w:r w:rsidR="00CF294D" w:rsidRPr="00EB2AD9">
                    <w:rPr>
                      <w:rFonts w:ascii="Arial" w:hAnsi="Arial" w:cs="Arial"/>
                      <w:b/>
                      <w:bCs/>
                      <w:sz w:val="22"/>
                    </w:rPr>
                    <w:t>28</w:t>
                  </w:r>
                  <w:r w:rsidRPr="00EB2AD9">
                    <w:rPr>
                      <w:rFonts w:ascii="Arial" w:hAnsi="Arial" w:cs="Arial"/>
                      <w:b/>
                      <w:bCs/>
                      <w:sz w:val="22"/>
                    </w:rPr>
                    <w:t>/202</w:t>
                  </w:r>
                  <w:r w:rsidRPr="00EB2AD9">
                    <w:rPr>
                      <w:rFonts w:ascii="Arial" w:hAnsi="Arial" w:cs="Arial"/>
                      <w:b/>
                      <w:bCs/>
                      <w:sz w:val="22"/>
                      <w:lang w:val="en-US"/>
                    </w:rPr>
                    <w:t>4</w:t>
                  </w:r>
                </w:p>
              </w:tc>
            </w:tr>
            <w:tr w:rsidR="005B1231" w:rsidRPr="00EB2AD9" w14:paraId="65019828" w14:textId="77777777" w:rsidTr="00A83C17">
              <w:trPr>
                <w:trHeight w:val="20"/>
              </w:trPr>
              <w:tc>
                <w:tcPr>
                  <w:tcW w:w="2790" w:type="dxa"/>
                  <w:tcBorders>
                    <w:top w:val="nil"/>
                    <w:left w:val="nil"/>
                    <w:bottom w:val="nil"/>
                    <w:right w:val="nil"/>
                  </w:tcBorders>
                  <w:shd w:val="clear" w:color="000000" w:fill="FFFFFF"/>
                  <w:hideMark/>
                </w:tcPr>
                <w:p w14:paraId="6751CC09" w14:textId="04301623" w:rsidR="005B1231" w:rsidRPr="00EB2AD9" w:rsidRDefault="005B1231" w:rsidP="005B1231">
                  <w:pPr>
                    <w:spacing w:after="0"/>
                    <w:rPr>
                      <w:rFonts w:ascii="Arial" w:hAnsi="Arial" w:cs="Arial"/>
                      <w:sz w:val="22"/>
                    </w:rPr>
                  </w:pPr>
                  <w:r w:rsidRPr="00EB2AD9">
                    <w:rPr>
                      <w:rFonts w:ascii="Arial" w:hAnsi="Arial" w:cs="Arial"/>
                      <w:sz w:val="22"/>
                      <w:lang w:val="en-US"/>
                    </w:rPr>
                    <w:t>Equity</w:t>
                  </w:r>
                </w:p>
              </w:tc>
              <w:tc>
                <w:tcPr>
                  <w:tcW w:w="2160" w:type="dxa"/>
                  <w:tcBorders>
                    <w:top w:val="nil"/>
                    <w:left w:val="nil"/>
                    <w:bottom w:val="nil"/>
                    <w:right w:val="nil"/>
                  </w:tcBorders>
                  <w:shd w:val="clear" w:color="auto" w:fill="auto"/>
                  <w:hideMark/>
                </w:tcPr>
                <w:p w14:paraId="480D5720" w14:textId="7E251F27" w:rsidR="005B1231" w:rsidRPr="00EB2AD9" w:rsidRDefault="005B1231" w:rsidP="005B1231">
                  <w:pPr>
                    <w:spacing w:after="0" w:line="240" w:lineRule="auto"/>
                    <w:jc w:val="right"/>
                    <w:rPr>
                      <w:rFonts w:ascii="Arial" w:eastAsia="Times New Roman" w:hAnsi="Arial" w:cs="Arial"/>
                      <w:sz w:val="22"/>
                      <w:lang w:val="en-US"/>
                    </w:rPr>
                  </w:pPr>
                  <w:r w:rsidRPr="00EB2AD9">
                    <w:rPr>
                      <w:rFonts w:ascii="Arial" w:eastAsia="Times New Roman" w:hAnsi="Arial" w:cs="Arial"/>
                      <w:sz w:val="22"/>
                      <w:lang w:val="en-US"/>
                    </w:rPr>
                    <w:t>35,046,353,900.00</w:t>
                  </w:r>
                </w:p>
              </w:tc>
              <w:tc>
                <w:tcPr>
                  <w:tcW w:w="2250" w:type="dxa"/>
                  <w:tcBorders>
                    <w:top w:val="nil"/>
                    <w:left w:val="nil"/>
                    <w:bottom w:val="nil"/>
                    <w:right w:val="nil"/>
                  </w:tcBorders>
                  <w:shd w:val="clear" w:color="auto" w:fill="auto"/>
                  <w:noWrap/>
                </w:tcPr>
                <w:p w14:paraId="42D44902" w14:textId="4657A142" w:rsidR="005B1231" w:rsidRPr="00EB2AD9" w:rsidRDefault="005B1231" w:rsidP="005B1231">
                  <w:pPr>
                    <w:spacing w:after="0" w:line="240" w:lineRule="auto"/>
                    <w:jc w:val="right"/>
                    <w:rPr>
                      <w:rFonts w:ascii="Arial" w:eastAsia="Times New Roman" w:hAnsi="Arial" w:cs="Arial"/>
                      <w:sz w:val="22"/>
                      <w:lang w:val="en-US"/>
                    </w:rPr>
                  </w:pPr>
                  <w:r w:rsidRPr="00EB2AD9">
                    <w:rPr>
                      <w:rFonts w:ascii="Arial" w:eastAsia="Times New Roman" w:hAnsi="Arial" w:cs="Arial"/>
                      <w:sz w:val="22"/>
                      <w:lang w:val="en-US"/>
                    </w:rPr>
                    <w:t>35,046,353,900.00</w:t>
                  </w:r>
                </w:p>
              </w:tc>
            </w:tr>
            <w:tr w:rsidR="005B1231" w:rsidRPr="00EB2AD9" w14:paraId="609ED281" w14:textId="77777777" w:rsidTr="00A83C17">
              <w:trPr>
                <w:trHeight w:val="20"/>
              </w:trPr>
              <w:tc>
                <w:tcPr>
                  <w:tcW w:w="2790" w:type="dxa"/>
                  <w:tcBorders>
                    <w:top w:val="nil"/>
                    <w:left w:val="nil"/>
                    <w:bottom w:val="nil"/>
                    <w:right w:val="nil"/>
                  </w:tcBorders>
                  <w:shd w:val="clear" w:color="000000" w:fill="FFFFFF"/>
                  <w:hideMark/>
                </w:tcPr>
                <w:p w14:paraId="09372CD9" w14:textId="033018BB" w:rsidR="005B1231" w:rsidRPr="00EB2AD9" w:rsidRDefault="005B1231" w:rsidP="005B1231">
                  <w:pPr>
                    <w:spacing w:after="0"/>
                    <w:rPr>
                      <w:rFonts w:ascii="Arial" w:hAnsi="Arial" w:cs="Arial"/>
                      <w:sz w:val="22"/>
                    </w:rPr>
                  </w:pPr>
                  <w:r w:rsidRPr="00EB2AD9">
                    <w:rPr>
                      <w:rFonts w:ascii="Arial" w:hAnsi="Arial" w:cs="Arial"/>
                      <w:sz w:val="22"/>
                      <w:lang w:val="en-US"/>
                    </w:rPr>
                    <w:t>Revaluation surplus</w:t>
                  </w:r>
                </w:p>
              </w:tc>
              <w:tc>
                <w:tcPr>
                  <w:tcW w:w="2160" w:type="dxa"/>
                  <w:tcBorders>
                    <w:top w:val="nil"/>
                    <w:left w:val="nil"/>
                    <w:bottom w:val="nil"/>
                    <w:right w:val="nil"/>
                  </w:tcBorders>
                  <w:shd w:val="clear" w:color="000000" w:fill="FFFFFF"/>
                  <w:noWrap/>
                  <w:hideMark/>
                </w:tcPr>
                <w:p w14:paraId="24C02D0B" w14:textId="305DF95D" w:rsidR="005B1231" w:rsidRPr="00EB2AD9" w:rsidRDefault="005B1231" w:rsidP="005B1231">
                  <w:pPr>
                    <w:spacing w:after="0" w:line="240" w:lineRule="auto"/>
                    <w:jc w:val="right"/>
                    <w:rPr>
                      <w:rFonts w:ascii="Arial" w:eastAsia="Times New Roman" w:hAnsi="Arial" w:cs="Arial"/>
                      <w:sz w:val="22"/>
                      <w:lang w:val="en-US"/>
                    </w:rPr>
                  </w:pPr>
                  <w:r w:rsidRPr="00EB2AD9">
                    <w:rPr>
                      <w:rFonts w:ascii="Arial" w:eastAsia="Times New Roman" w:hAnsi="Arial" w:cs="Arial"/>
                      <w:sz w:val="22"/>
                      <w:lang w:val="en-US"/>
                    </w:rPr>
                    <w:t xml:space="preserve">     20,021,146,332.29</w:t>
                  </w:r>
                </w:p>
              </w:tc>
              <w:tc>
                <w:tcPr>
                  <w:tcW w:w="2250" w:type="dxa"/>
                  <w:tcBorders>
                    <w:top w:val="nil"/>
                    <w:left w:val="nil"/>
                    <w:bottom w:val="nil"/>
                    <w:right w:val="nil"/>
                  </w:tcBorders>
                  <w:shd w:val="clear" w:color="auto" w:fill="auto"/>
                  <w:noWrap/>
                </w:tcPr>
                <w:p w14:paraId="7B8CB8EA" w14:textId="431B860D" w:rsidR="005B1231" w:rsidRPr="00EB2AD9" w:rsidRDefault="005B1231" w:rsidP="005B1231">
                  <w:pPr>
                    <w:tabs>
                      <w:tab w:val="left" w:pos="1560"/>
                    </w:tabs>
                    <w:spacing w:after="0" w:line="240" w:lineRule="auto"/>
                    <w:jc w:val="right"/>
                    <w:rPr>
                      <w:rFonts w:ascii="Arial" w:eastAsia="Times New Roman" w:hAnsi="Arial" w:cs="Arial"/>
                      <w:sz w:val="22"/>
                      <w:lang w:val="en-US"/>
                    </w:rPr>
                  </w:pPr>
                  <w:r w:rsidRPr="00EB2AD9">
                    <w:rPr>
                      <w:rFonts w:ascii="Arial" w:eastAsia="Times New Roman" w:hAnsi="Arial" w:cs="Arial"/>
                      <w:sz w:val="22"/>
                      <w:lang w:val="en-US"/>
                    </w:rPr>
                    <w:t>20,021,146,332.29</w:t>
                  </w:r>
                </w:p>
              </w:tc>
            </w:tr>
            <w:tr w:rsidR="005B1231" w:rsidRPr="00EB2AD9" w14:paraId="6B4684FA" w14:textId="77777777" w:rsidTr="00A83C17">
              <w:trPr>
                <w:trHeight w:val="20"/>
              </w:trPr>
              <w:tc>
                <w:tcPr>
                  <w:tcW w:w="2790" w:type="dxa"/>
                  <w:tcBorders>
                    <w:top w:val="nil"/>
                    <w:left w:val="nil"/>
                    <w:bottom w:val="nil"/>
                    <w:right w:val="nil"/>
                  </w:tcBorders>
                  <w:shd w:val="clear" w:color="000000" w:fill="FFFFFF"/>
                  <w:hideMark/>
                </w:tcPr>
                <w:p w14:paraId="47FE9579" w14:textId="340261FA" w:rsidR="005B1231" w:rsidRPr="00EB2AD9" w:rsidRDefault="005B1231" w:rsidP="005B1231">
                  <w:pPr>
                    <w:spacing w:after="0"/>
                    <w:rPr>
                      <w:rFonts w:ascii="Arial" w:hAnsi="Arial" w:cs="Arial"/>
                      <w:sz w:val="22"/>
                    </w:rPr>
                  </w:pPr>
                  <w:r w:rsidRPr="00EB2AD9">
                    <w:rPr>
                      <w:rFonts w:ascii="Arial" w:hAnsi="Arial" w:cs="Arial"/>
                      <w:sz w:val="22"/>
                      <w:lang w:val="en-US"/>
                    </w:rPr>
                    <w:t>Other components of equity</w:t>
                  </w:r>
                </w:p>
              </w:tc>
              <w:tc>
                <w:tcPr>
                  <w:tcW w:w="2160" w:type="dxa"/>
                  <w:tcBorders>
                    <w:top w:val="nil"/>
                    <w:left w:val="nil"/>
                    <w:bottom w:val="nil"/>
                    <w:right w:val="nil"/>
                  </w:tcBorders>
                  <w:shd w:val="clear" w:color="000000" w:fill="FFFFFF"/>
                  <w:noWrap/>
                  <w:hideMark/>
                </w:tcPr>
                <w:p w14:paraId="0CB93168" w14:textId="07590863" w:rsidR="005B1231" w:rsidRPr="00EB2AD9" w:rsidRDefault="005B1231" w:rsidP="005B1231">
                  <w:pPr>
                    <w:spacing w:after="0" w:line="240" w:lineRule="auto"/>
                    <w:jc w:val="right"/>
                    <w:rPr>
                      <w:rFonts w:ascii="Arial" w:eastAsia="Times New Roman" w:hAnsi="Arial" w:cs="Arial"/>
                      <w:sz w:val="22"/>
                      <w:lang w:val="en-US"/>
                    </w:rPr>
                  </w:pPr>
                  <w:r w:rsidRPr="00EB2AD9">
                    <w:rPr>
                      <w:rFonts w:ascii="Arial" w:eastAsia="Times New Roman" w:hAnsi="Arial" w:cs="Arial"/>
                      <w:sz w:val="22"/>
                      <w:lang w:val="en-US"/>
                    </w:rPr>
                    <w:t xml:space="preserve">      446,321,902.02</w:t>
                  </w:r>
                </w:p>
              </w:tc>
              <w:tc>
                <w:tcPr>
                  <w:tcW w:w="2250" w:type="dxa"/>
                  <w:tcBorders>
                    <w:top w:val="nil"/>
                    <w:left w:val="nil"/>
                    <w:bottom w:val="nil"/>
                    <w:right w:val="nil"/>
                  </w:tcBorders>
                  <w:shd w:val="clear" w:color="auto" w:fill="auto"/>
                </w:tcPr>
                <w:p w14:paraId="37A90C38" w14:textId="042597D3" w:rsidR="005B1231" w:rsidRPr="00EB2AD9" w:rsidRDefault="005B1231" w:rsidP="005B1231">
                  <w:pPr>
                    <w:tabs>
                      <w:tab w:val="left" w:pos="1440"/>
                    </w:tabs>
                    <w:spacing w:after="0" w:line="240" w:lineRule="auto"/>
                    <w:jc w:val="right"/>
                    <w:rPr>
                      <w:rFonts w:ascii="Arial" w:eastAsia="Times New Roman" w:hAnsi="Arial" w:cs="Arial"/>
                      <w:sz w:val="22"/>
                      <w:lang w:val="en-US"/>
                    </w:rPr>
                  </w:pPr>
                  <w:r w:rsidRPr="00EB2AD9">
                    <w:rPr>
                      <w:rFonts w:ascii="Arial" w:eastAsia="Times New Roman" w:hAnsi="Arial" w:cs="Arial"/>
                      <w:sz w:val="22"/>
                      <w:lang w:val="en-US"/>
                    </w:rPr>
                    <w:t xml:space="preserve">      446,321,902.02</w:t>
                  </w:r>
                </w:p>
              </w:tc>
            </w:tr>
            <w:tr w:rsidR="005B1231" w:rsidRPr="00EB2AD9" w14:paraId="7CD96C88" w14:textId="77777777" w:rsidTr="00A83C17">
              <w:trPr>
                <w:trHeight w:val="20"/>
              </w:trPr>
              <w:tc>
                <w:tcPr>
                  <w:tcW w:w="2790" w:type="dxa"/>
                  <w:tcBorders>
                    <w:top w:val="nil"/>
                    <w:left w:val="nil"/>
                    <w:bottom w:val="nil"/>
                    <w:right w:val="nil"/>
                  </w:tcBorders>
                  <w:shd w:val="clear" w:color="000000" w:fill="FFFFFF"/>
                  <w:hideMark/>
                </w:tcPr>
                <w:p w14:paraId="0B685359" w14:textId="6B2FD969" w:rsidR="005B1231" w:rsidRPr="00EB2AD9" w:rsidRDefault="005B1231" w:rsidP="005B1231">
                  <w:pPr>
                    <w:spacing w:after="0"/>
                    <w:rPr>
                      <w:rFonts w:ascii="Arial" w:hAnsi="Arial" w:cs="Arial"/>
                      <w:sz w:val="22"/>
                    </w:rPr>
                  </w:pPr>
                  <w:r w:rsidRPr="00EB2AD9">
                    <w:rPr>
                      <w:rFonts w:ascii="Arial" w:hAnsi="Arial" w:cs="Arial"/>
                      <w:sz w:val="22"/>
                      <w:lang w:val="en-US"/>
                    </w:rPr>
                    <w:t>Retained earnings</w:t>
                  </w:r>
                </w:p>
              </w:tc>
              <w:tc>
                <w:tcPr>
                  <w:tcW w:w="2160" w:type="dxa"/>
                  <w:tcBorders>
                    <w:top w:val="nil"/>
                    <w:left w:val="nil"/>
                    <w:bottom w:val="nil"/>
                    <w:right w:val="nil"/>
                  </w:tcBorders>
                  <w:shd w:val="clear" w:color="000000" w:fill="FFFFFF"/>
                  <w:noWrap/>
                  <w:hideMark/>
                </w:tcPr>
                <w:p w14:paraId="3C523FCB" w14:textId="4F9967EC" w:rsidR="005B1231" w:rsidRPr="00EB2AD9" w:rsidRDefault="005B1231" w:rsidP="005B1231">
                  <w:pPr>
                    <w:spacing w:after="0" w:line="240" w:lineRule="auto"/>
                    <w:jc w:val="right"/>
                    <w:rPr>
                      <w:rFonts w:ascii="Arial" w:eastAsia="Times New Roman" w:hAnsi="Arial" w:cs="Arial"/>
                      <w:sz w:val="22"/>
                      <w:lang w:val="en-US"/>
                    </w:rPr>
                  </w:pPr>
                  <w:r w:rsidRPr="00EB2AD9">
                    <w:rPr>
                      <w:rFonts w:ascii="Arial" w:eastAsia="Times New Roman" w:hAnsi="Arial" w:cs="Arial"/>
                      <w:sz w:val="22"/>
                      <w:lang w:val="en-US"/>
                    </w:rPr>
                    <w:t xml:space="preserve">    (11,434,011,346.80)</w:t>
                  </w:r>
                </w:p>
              </w:tc>
              <w:tc>
                <w:tcPr>
                  <w:tcW w:w="2250" w:type="dxa"/>
                  <w:tcBorders>
                    <w:top w:val="nil"/>
                    <w:left w:val="nil"/>
                    <w:bottom w:val="nil"/>
                    <w:right w:val="nil"/>
                  </w:tcBorders>
                  <w:shd w:val="clear" w:color="auto" w:fill="auto"/>
                  <w:noWrap/>
                </w:tcPr>
                <w:p w14:paraId="3A662D02" w14:textId="319F0969" w:rsidR="005B1231" w:rsidRPr="00EB2AD9" w:rsidRDefault="005B1231" w:rsidP="005B1231">
                  <w:pPr>
                    <w:tabs>
                      <w:tab w:val="left" w:pos="255"/>
                    </w:tabs>
                    <w:spacing w:after="0" w:line="240" w:lineRule="auto"/>
                    <w:jc w:val="right"/>
                    <w:rPr>
                      <w:rFonts w:ascii="Arial" w:eastAsia="Times New Roman" w:hAnsi="Arial" w:cs="Arial"/>
                      <w:sz w:val="22"/>
                      <w:lang w:val="en-US"/>
                    </w:rPr>
                  </w:pPr>
                  <w:r w:rsidRPr="00EB2AD9">
                    <w:rPr>
                      <w:rFonts w:ascii="Arial" w:eastAsia="Times New Roman" w:hAnsi="Arial" w:cs="Arial"/>
                      <w:sz w:val="22"/>
                      <w:lang w:val="en-US"/>
                    </w:rPr>
                    <w:t xml:space="preserve">    2,062,636,660.57)</w:t>
                  </w:r>
                </w:p>
              </w:tc>
            </w:tr>
            <w:tr w:rsidR="005B1231" w:rsidRPr="00EB2AD9" w14:paraId="4F431B5A" w14:textId="77777777" w:rsidTr="00A83C17">
              <w:trPr>
                <w:trHeight w:val="20"/>
              </w:trPr>
              <w:tc>
                <w:tcPr>
                  <w:tcW w:w="2790" w:type="dxa"/>
                  <w:tcBorders>
                    <w:top w:val="nil"/>
                    <w:left w:val="nil"/>
                    <w:bottom w:val="nil"/>
                    <w:right w:val="nil"/>
                  </w:tcBorders>
                  <w:shd w:val="clear" w:color="000000" w:fill="FFFFFF"/>
                  <w:hideMark/>
                </w:tcPr>
                <w:p w14:paraId="3C259032" w14:textId="162B4F47" w:rsidR="005B1231" w:rsidRPr="00EB2AD9" w:rsidRDefault="005B1231" w:rsidP="005B1231">
                  <w:pPr>
                    <w:spacing w:after="0"/>
                    <w:rPr>
                      <w:rFonts w:ascii="Arial" w:hAnsi="Arial" w:cs="Arial"/>
                      <w:b/>
                      <w:bCs/>
                      <w:sz w:val="22"/>
                    </w:rPr>
                  </w:pPr>
                  <w:r w:rsidRPr="00EB2AD9">
                    <w:rPr>
                      <w:rFonts w:ascii="Arial" w:hAnsi="Arial" w:cs="Arial"/>
                      <w:b/>
                      <w:bCs/>
                      <w:sz w:val="22"/>
                      <w:lang w:val="en-US"/>
                    </w:rPr>
                    <w:t>Total equity</w:t>
                  </w:r>
                </w:p>
              </w:tc>
              <w:tc>
                <w:tcPr>
                  <w:tcW w:w="2160" w:type="dxa"/>
                  <w:tcBorders>
                    <w:top w:val="nil"/>
                    <w:left w:val="nil"/>
                    <w:bottom w:val="nil"/>
                    <w:right w:val="nil"/>
                  </w:tcBorders>
                  <w:shd w:val="clear" w:color="000000" w:fill="FFFFFF"/>
                  <w:noWrap/>
                  <w:hideMark/>
                </w:tcPr>
                <w:p w14:paraId="0819B27F" w14:textId="3EAD4F77" w:rsidR="005B1231" w:rsidRPr="00EB2AD9" w:rsidRDefault="005B1231" w:rsidP="005B1231">
                  <w:pPr>
                    <w:spacing w:after="0"/>
                    <w:jc w:val="right"/>
                    <w:rPr>
                      <w:rFonts w:ascii="Arial" w:hAnsi="Arial" w:cs="Arial"/>
                      <w:b/>
                      <w:bCs/>
                      <w:sz w:val="22"/>
                      <w:lang w:val="en-US"/>
                    </w:rPr>
                  </w:pPr>
                  <w:r w:rsidRPr="00EB2AD9">
                    <w:rPr>
                      <w:rFonts w:ascii="Arial" w:hAnsi="Arial" w:cs="Arial"/>
                      <w:b/>
                      <w:bCs/>
                      <w:sz w:val="22"/>
                      <w:lang w:val="en-US"/>
                    </w:rPr>
                    <w:t xml:space="preserve">     44,079,810,787.51</w:t>
                  </w:r>
                </w:p>
              </w:tc>
              <w:tc>
                <w:tcPr>
                  <w:tcW w:w="2250" w:type="dxa"/>
                  <w:tcBorders>
                    <w:top w:val="nil"/>
                    <w:left w:val="nil"/>
                    <w:bottom w:val="nil"/>
                    <w:right w:val="nil"/>
                  </w:tcBorders>
                  <w:shd w:val="clear" w:color="000000" w:fill="FFFFFF"/>
                  <w:noWrap/>
                </w:tcPr>
                <w:p w14:paraId="5CE16DEE" w14:textId="3108B159" w:rsidR="005B1231" w:rsidRPr="00EB2AD9" w:rsidRDefault="005B1231" w:rsidP="005B1231">
                  <w:pPr>
                    <w:tabs>
                      <w:tab w:val="left" w:pos="1395"/>
                    </w:tabs>
                    <w:spacing w:after="0"/>
                    <w:jc w:val="right"/>
                    <w:rPr>
                      <w:rFonts w:ascii="Arial" w:hAnsi="Arial" w:cs="Arial"/>
                      <w:b/>
                      <w:bCs/>
                      <w:sz w:val="22"/>
                      <w:lang w:val="en-US"/>
                    </w:rPr>
                  </w:pPr>
                  <w:r w:rsidRPr="00EB2AD9">
                    <w:rPr>
                      <w:rFonts w:ascii="Arial" w:hAnsi="Arial" w:cs="Arial"/>
                      <w:b/>
                      <w:bCs/>
                      <w:sz w:val="22"/>
                      <w:lang w:val="en-US"/>
                    </w:rPr>
                    <w:t xml:space="preserve">     57,576,458,794.88</w:t>
                  </w:r>
                </w:p>
              </w:tc>
            </w:tr>
          </w:tbl>
          <w:p w14:paraId="4AA16C35" w14:textId="34D21DCA" w:rsidR="00C15312" w:rsidRPr="00EB2AD9" w:rsidRDefault="00C15312" w:rsidP="00C15312">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 xml:space="preserve"> </w:t>
            </w:r>
          </w:p>
        </w:tc>
      </w:tr>
      <w:tr w:rsidR="00C15312" w:rsidRPr="00EB2AD9" w14:paraId="2A4489FC" w14:textId="77777777" w:rsidTr="00A04B16">
        <w:trPr>
          <w:trHeight w:val="4058"/>
        </w:trPr>
        <w:tc>
          <w:tcPr>
            <w:tcW w:w="3150" w:type="dxa"/>
            <w:gridSpan w:val="3"/>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vAlign w:val="center"/>
            <w:hideMark/>
          </w:tcPr>
          <w:p w14:paraId="2CEB0F65" w14:textId="77777777" w:rsidR="005B1231" w:rsidRPr="00EB2AD9" w:rsidRDefault="005B1231" w:rsidP="005B1231">
            <w:pPr>
              <w:spacing w:after="0" w:line="240" w:lineRule="auto"/>
              <w:rPr>
                <w:rFonts w:ascii="Arial" w:eastAsia="Times New Roman" w:hAnsi="Arial" w:cs="Arial"/>
                <w:i/>
                <w:iCs/>
                <w:color w:val="000000"/>
                <w:sz w:val="22"/>
                <w:lang w:eastAsia="mn-MN"/>
              </w:rPr>
            </w:pPr>
          </w:p>
          <w:p w14:paraId="600F02D7" w14:textId="50BA523C" w:rsidR="00C15312" w:rsidRPr="00EB2AD9" w:rsidRDefault="005B1231" w:rsidP="005B1231">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Statement of cashflow</w:t>
            </w:r>
          </w:p>
        </w:tc>
        <w:tc>
          <w:tcPr>
            <w:tcW w:w="7560" w:type="dxa"/>
            <w:tcBorders>
              <w:top w:val="nil"/>
              <w:left w:val="nil"/>
              <w:bottom w:val="single" w:sz="4" w:space="0" w:color="auto"/>
              <w:right w:val="single" w:sz="4" w:space="0" w:color="auto"/>
            </w:tcBorders>
            <w:shd w:val="clear" w:color="auto" w:fill="FFFFFF" w:themeFill="background1"/>
            <w:hideMark/>
          </w:tcPr>
          <w:tbl>
            <w:tblPr>
              <w:tblW w:w="7200" w:type="dxa"/>
              <w:tblInd w:w="70" w:type="dxa"/>
              <w:tblLayout w:type="fixed"/>
              <w:tblLook w:val="04A0" w:firstRow="1" w:lastRow="0" w:firstColumn="1" w:lastColumn="0" w:noHBand="0" w:noVBand="1"/>
            </w:tblPr>
            <w:tblGrid>
              <w:gridCol w:w="2790"/>
              <w:gridCol w:w="2160"/>
              <w:gridCol w:w="2250"/>
            </w:tblGrid>
            <w:tr w:rsidR="007D3DA6" w:rsidRPr="00EB2AD9" w14:paraId="02607907" w14:textId="77777777" w:rsidTr="007D3DA6">
              <w:trPr>
                <w:trHeight w:val="431"/>
              </w:trPr>
              <w:tc>
                <w:tcPr>
                  <w:tcW w:w="2790" w:type="dxa"/>
                  <w:tcBorders>
                    <w:top w:val="single" w:sz="4" w:space="0" w:color="auto"/>
                    <w:left w:val="nil"/>
                    <w:bottom w:val="single" w:sz="4" w:space="0" w:color="auto"/>
                    <w:right w:val="nil"/>
                  </w:tcBorders>
                  <w:shd w:val="clear" w:color="000000" w:fill="FFFFFF"/>
                  <w:vAlign w:val="center"/>
                </w:tcPr>
                <w:p w14:paraId="7E74E029" w14:textId="4C7D3EB1" w:rsidR="007D3DA6" w:rsidRPr="00EB2AD9" w:rsidRDefault="007D3DA6" w:rsidP="005B1231">
                  <w:pPr>
                    <w:spacing w:after="0" w:line="240" w:lineRule="auto"/>
                    <w:jc w:val="center"/>
                    <w:rPr>
                      <w:rFonts w:ascii="Arial" w:eastAsia="Times New Roman" w:hAnsi="Arial" w:cs="Arial"/>
                      <w:b/>
                      <w:bCs/>
                      <w:sz w:val="22"/>
                    </w:rPr>
                  </w:pPr>
                  <w:r w:rsidRPr="00EB2AD9">
                    <w:rPr>
                      <w:rFonts w:ascii="Arial" w:eastAsia="Times New Roman" w:hAnsi="Arial" w:cs="Arial"/>
                      <w:b/>
                      <w:bCs/>
                      <w:sz w:val="22"/>
                      <w:lang w:val="en-US"/>
                    </w:rPr>
                    <w:t>Items</w:t>
                  </w:r>
                </w:p>
              </w:tc>
              <w:tc>
                <w:tcPr>
                  <w:tcW w:w="2160" w:type="dxa"/>
                  <w:tcBorders>
                    <w:top w:val="single" w:sz="4" w:space="0" w:color="auto"/>
                    <w:left w:val="nil"/>
                    <w:bottom w:val="single" w:sz="4" w:space="0" w:color="auto"/>
                    <w:right w:val="nil"/>
                  </w:tcBorders>
                  <w:shd w:val="clear" w:color="000000" w:fill="FFFFFF"/>
                  <w:vAlign w:val="center"/>
                  <w:hideMark/>
                </w:tcPr>
                <w:p w14:paraId="365C4781" w14:textId="2B611307" w:rsidR="007D3DA6" w:rsidRPr="00EB2AD9" w:rsidRDefault="007D3DA6" w:rsidP="005B1231">
                  <w:pPr>
                    <w:spacing w:after="0" w:line="240" w:lineRule="auto"/>
                    <w:jc w:val="center"/>
                    <w:rPr>
                      <w:rFonts w:ascii="Arial" w:eastAsia="Times New Roman" w:hAnsi="Arial" w:cs="Arial"/>
                      <w:b/>
                      <w:bCs/>
                      <w:sz w:val="22"/>
                      <w:lang w:val="en-US"/>
                    </w:rPr>
                  </w:pPr>
                  <w:r w:rsidRPr="00EB2AD9">
                    <w:rPr>
                      <w:rFonts w:ascii="Arial" w:eastAsia="Times New Roman" w:hAnsi="Arial" w:cs="Arial"/>
                      <w:b/>
                      <w:bCs/>
                      <w:sz w:val="22"/>
                    </w:rPr>
                    <w:t>1/1/202</w:t>
                  </w:r>
                  <w:r w:rsidRPr="00EB2AD9">
                    <w:rPr>
                      <w:rFonts w:ascii="Arial" w:eastAsia="Times New Roman" w:hAnsi="Arial" w:cs="Arial"/>
                      <w:b/>
                      <w:bCs/>
                      <w:sz w:val="22"/>
                      <w:lang w:val="en-US"/>
                    </w:rPr>
                    <w:t>4</w:t>
                  </w:r>
                </w:p>
              </w:tc>
              <w:tc>
                <w:tcPr>
                  <w:tcW w:w="2250" w:type="dxa"/>
                  <w:tcBorders>
                    <w:top w:val="single" w:sz="4" w:space="0" w:color="auto"/>
                    <w:left w:val="nil"/>
                    <w:bottom w:val="single" w:sz="4" w:space="0" w:color="auto"/>
                    <w:right w:val="nil"/>
                  </w:tcBorders>
                  <w:shd w:val="clear" w:color="000000" w:fill="FFFFFF"/>
                  <w:vAlign w:val="center"/>
                  <w:hideMark/>
                </w:tcPr>
                <w:p w14:paraId="0D2FEB3F" w14:textId="4078791A" w:rsidR="007D3DA6" w:rsidRPr="00EB2AD9" w:rsidRDefault="007D3DA6" w:rsidP="005B1231">
                  <w:pPr>
                    <w:spacing w:after="0" w:line="240" w:lineRule="auto"/>
                    <w:jc w:val="center"/>
                    <w:rPr>
                      <w:rFonts w:ascii="Arial" w:eastAsia="Times New Roman" w:hAnsi="Arial" w:cs="Arial"/>
                      <w:b/>
                      <w:bCs/>
                      <w:sz w:val="22"/>
                      <w:lang w:val="en-US"/>
                    </w:rPr>
                  </w:pPr>
                  <w:r w:rsidRPr="00EB2AD9">
                    <w:rPr>
                      <w:rFonts w:ascii="Arial" w:eastAsia="Times New Roman" w:hAnsi="Arial" w:cs="Arial"/>
                      <w:b/>
                      <w:bCs/>
                      <w:sz w:val="22"/>
                    </w:rPr>
                    <w:t>06/28/202</w:t>
                  </w:r>
                  <w:r w:rsidRPr="00EB2AD9">
                    <w:rPr>
                      <w:rFonts w:ascii="Arial" w:eastAsia="Times New Roman" w:hAnsi="Arial" w:cs="Arial"/>
                      <w:b/>
                      <w:bCs/>
                      <w:sz w:val="22"/>
                      <w:lang w:val="en-US"/>
                    </w:rPr>
                    <w:t>4</w:t>
                  </w:r>
                </w:p>
              </w:tc>
            </w:tr>
            <w:tr w:rsidR="007D3DA6" w:rsidRPr="00EB2AD9" w14:paraId="28D85800" w14:textId="77777777" w:rsidTr="007D3DA6">
              <w:trPr>
                <w:trHeight w:val="467"/>
              </w:trPr>
              <w:tc>
                <w:tcPr>
                  <w:tcW w:w="2790" w:type="dxa"/>
                  <w:tcBorders>
                    <w:top w:val="nil"/>
                    <w:left w:val="nil"/>
                    <w:bottom w:val="nil"/>
                    <w:right w:val="nil"/>
                  </w:tcBorders>
                  <w:shd w:val="clear" w:color="000000" w:fill="FFFFFF"/>
                  <w:vAlign w:val="center"/>
                </w:tcPr>
                <w:p w14:paraId="7B6D6469" w14:textId="7BDAE3AA" w:rsidR="007D3DA6" w:rsidRPr="00700FE0" w:rsidRDefault="007D3DA6" w:rsidP="007D3DA6">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Net cash flows from operating activities</w:t>
                  </w:r>
                </w:p>
              </w:tc>
              <w:tc>
                <w:tcPr>
                  <w:tcW w:w="2160" w:type="dxa"/>
                  <w:tcBorders>
                    <w:top w:val="nil"/>
                    <w:left w:val="nil"/>
                    <w:bottom w:val="nil"/>
                    <w:right w:val="nil"/>
                  </w:tcBorders>
                  <w:shd w:val="clear" w:color="000000" w:fill="FFFFFF"/>
                  <w:vAlign w:val="center"/>
                  <w:hideMark/>
                </w:tcPr>
                <w:p w14:paraId="560544FC" w14:textId="623F202B" w:rsidR="007D3DA6" w:rsidRPr="00700FE0" w:rsidRDefault="007D3DA6" w:rsidP="007D3DA6">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 xml:space="preserve">896,919,408,256.00                                          </w:t>
                  </w:r>
                </w:p>
              </w:tc>
              <w:tc>
                <w:tcPr>
                  <w:tcW w:w="2250" w:type="dxa"/>
                  <w:tcBorders>
                    <w:top w:val="nil"/>
                    <w:left w:val="nil"/>
                    <w:bottom w:val="nil"/>
                    <w:right w:val="nil"/>
                  </w:tcBorders>
                  <w:shd w:val="clear" w:color="000000" w:fill="FFFFFF"/>
                  <w:vAlign w:val="center"/>
                </w:tcPr>
                <w:p w14:paraId="23344F71" w14:textId="02DC4C99" w:rsidR="007D3DA6" w:rsidRPr="00700FE0" w:rsidRDefault="007D3DA6" w:rsidP="007D3DA6">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168,482,851,590.88</w:t>
                  </w:r>
                </w:p>
              </w:tc>
            </w:tr>
            <w:tr w:rsidR="007D3DA6" w:rsidRPr="00EB2AD9" w14:paraId="7A773616" w14:textId="77777777" w:rsidTr="007D3DA6">
              <w:trPr>
                <w:trHeight w:val="467"/>
              </w:trPr>
              <w:tc>
                <w:tcPr>
                  <w:tcW w:w="2790" w:type="dxa"/>
                  <w:tcBorders>
                    <w:top w:val="nil"/>
                    <w:left w:val="nil"/>
                    <w:bottom w:val="nil"/>
                    <w:right w:val="nil"/>
                  </w:tcBorders>
                  <w:shd w:val="clear" w:color="000000" w:fill="FFFFFF"/>
                  <w:vAlign w:val="center"/>
                </w:tcPr>
                <w:p w14:paraId="01FE8314" w14:textId="175CE905" w:rsidR="007D3DA6" w:rsidRPr="00700FE0" w:rsidRDefault="007D3DA6" w:rsidP="007D3DA6">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Net cash flow used in investing activities</w:t>
                  </w:r>
                </w:p>
              </w:tc>
              <w:tc>
                <w:tcPr>
                  <w:tcW w:w="2160" w:type="dxa"/>
                  <w:tcBorders>
                    <w:top w:val="nil"/>
                    <w:left w:val="nil"/>
                    <w:bottom w:val="nil"/>
                    <w:right w:val="nil"/>
                  </w:tcBorders>
                  <w:shd w:val="clear" w:color="000000" w:fill="FFFFFF"/>
                  <w:vAlign w:val="center"/>
                  <w:hideMark/>
                </w:tcPr>
                <w:p w14:paraId="48A10543" w14:textId="007C92AD" w:rsidR="007D3DA6" w:rsidRPr="00700FE0" w:rsidRDefault="007D3DA6" w:rsidP="007D3DA6">
                  <w:pPr>
                    <w:spacing w:after="0" w:line="240" w:lineRule="auto"/>
                    <w:jc w:val="right"/>
                    <w:rPr>
                      <w:rFonts w:ascii="Arial" w:eastAsia="Times New Roman" w:hAnsi="Arial" w:cs="Arial"/>
                      <w:sz w:val="20"/>
                      <w:szCs w:val="20"/>
                    </w:rPr>
                  </w:pPr>
                  <w:r w:rsidRPr="00700FE0">
                    <w:rPr>
                      <w:rFonts w:ascii="Arial" w:eastAsia="Times New Roman" w:hAnsi="Arial" w:cs="Arial"/>
                      <w:sz w:val="20"/>
                      <w:szCs w:val="20"/>
                    </w:rPr>
                    <w:t>(</w:t>
                  </w:r>
                  <w:r w:rsidRPr="00700FE0">
                    <w:rPr>
                      <w:rFonts w:ascii="Arial" w:eastAsia="Times New Roman" w:hAnsi="Arial" w:cs="Arial"/>
                      <w:sz w:val="20"/>
                      <w:szCs w:val="20"/>
                      <w:lang w:val="en-US"/>
                    </w:rPr>
                    <w:t>575</w:t>
                  </w:r>
                  <w:r w:rsidRPr="00700FE0">
                    <w:rPr>
                      <w:rFonts w:ascii="Arial" w:eastAsia="Times New Roman" w:hAnsi="Arial" w:cs="Arial"/>
                      <w:sz w:val="20"/>
                      <w:szCs w:val="20"/>
                    </w:rPr>
                    <w:t>,</w:t>
                  </w:r>
                  <w:r w:rsidRPr="00700FE0">
                    <w:rPr>
                      <w:rFonts w:ascii="Arial" w:eastAsia="Times New Roman" w:hAnsi="Arial" w:cs="Arial"/>
                      <w:sz w:val="20"/>
                      <w:szCs w:val="20"/>
                      <w:lang w:val="en-US"/>
                    </w:rPr>
                    <w:t>344</w:t>
                  </w:r>
                  <w:r w:rsidRPr="00700FE0">
                    <w:rPr>
                      <w:rFonts w:ascii="Arial" w:eastAsia="Times New Roman" w:hAnsi="Arial" w:cs="Arial"/>
                      <w:sz w:val="20"/>
                      <w:szCs w:val="20"/>
                    </w:rPr>
                    <w:t>,</w:t>
                  </w:r>
                  <w:r w:rsidRPr="00700FE0">
                    <w:rPr>
                      <w:rFonts w:ascii="Arial" w:eastAsia="Times New Roman" w:hAnsi="Arial" w:cs="Arial"/>
                      <w:sz w:val="20"/>
                      <w:szCs w:val="20"/>
                      <w:lang w:val="en-US"/>
                    </w:rPr>
                    <w:t>268</w:t>
                  </w:r>
                  <w:r w:rsidRPr="00700FE0">
                    <w:rPr>
                      <w:rFonts w:ascii="Arial" w:eastAsia="Times New Roman" w:hAnsi="Arial" w:cs="Arial"/>
                      <w:sz w:val="20"/>
                      <w:szCs w:val="20"/>
                    </w:rPr>
                    <w:t>.</w:t>
                  </w:r>
                  <w:r w:rsidRPr="00700FE0">
                    <w:rPr>
                      <w:rFonts w:ascii="Arial" w:eastAsia="Times New Roman" w:hAnsi="Arial" w:cs="Arial"/>
                      <w:sz w:val="20"/>
                      <w:szCs w:val="20"/>
                      <w:lang w:val="en-US"/>
                    </w:rPr>
                    <w:t>00</w:t>
                  </w:r>
                  <w:r w:rsidRPr="00700FE0">
                    <w:rPr>
                      <w:rFonts w:ascii="Arial" w:eastAsia="Times New Roman" w:hAnsi="Arial" w:cs="Arial"/>
                      <w:sz w:val="20"/>
                      <w:szCs w:val="20"/>
                    </w:rPr>
                    <w:t>)</w:t>
                  </w:r>
                </w:p>
              </w:tc>
              <w:tc>
                <w:tcPr>
                  <w:tcW w:w="2250" w:type="dxa"/>
                  <w:tcBorders>
                    <w:top w:val="nil"/>
                    <w:left w:val="nil"/>
                    <w:bottom w:val="nil"/>
                    <w:right w:val="nil"/>
                  </w:tcBorders>
                  <w:shd w:val="clear" w:color="000000" w:fill="FFFFFF"/>
                  <w:vAlign w:val="center"/>
                </w:tcPr>
                <w:p w14:paraId="6453B5ED" w14:textId="35EE2A11" w:rsidR="007D3DA6" w:rsidRPr="00700FE0" w:rsidRDefault="007D3DA6" w:rsidP="007D3DA6">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(393,855,487.00)</w:t>
                  </w:r>
                </w:p>
              </w:tc>
            </w:tr>
            <w:tr w:rsidR="007D3DA6" w:rsidRPr="00EB2AD9" w14:paraId="4D717F8C" w14:textId="77777777" w:rsidTr="007D3DA6">
              <w:trPr>
                <w:trHeight w:val="484"/>
              </w:trPr>
              <w:tc>
                <w:tcPr>
                  <w:tcW w:w="2790" w:type="dxa"/>
                  <w:tcBorders>
                    <w:top w:val="nil"/>
                    <w:left w:val="nil"/>
                    <w:bottom w:val="nil"/>
                    <w:right w:val="nil"/>
                  </w:tcBorders>
                  <w:shd w:val="clear" w:color="000000" w:fill="FFFFFF"/>
                  <w:vAlign w:val="center"/>
                </w:tcPr>
                <w:p w14:paraId="77EBFA2C" w14:textId="62642CD2" w:rsidR="007D3DA6" w:rsidRPr="00700FE0" w:rsidRDefault="007D3DA6" w:rsidP="007D3DA6">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Net cash used in financing activities</w:t>
                  </w:r>
                </w:p>
              </w:tc>
              <w:tc>
                <w:tcPr>
                  <w:tcW w:w="2160" w:type="dxa"/>
                  <w:tcBorders>
                    <w:top w:val="nil"/>
                    <w:left w:val="nil"/>
                    <w:bottom w:val="nil"/>
                    <w:right w:val="nil"/>
                  </w:tcBorders>
                  <w:shd w:val="clear" w:color="000000" w:fill="FFFFFF"/>
                  <w:vAlign w:val="center"/>
                  <w:hideMark/>
                </w:tcPr>
                <w:p w14:paraId="4F40D79A" w14:textId="5634350F" w:rsidR="007D3DA6" w:rsidRPr="00700FE0" w:rsidRDefault="007D3DA6" w:rsidP="007D3DA6">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11,915,759,800.00</w:t>
                  </w:r>
                </w:p>
              </w:tc>
              <w:tc>
                <w:tcPr>
                  <w:tcW w:w="2250" w:type="dxa"/>
                  <w:tcBorders>
                    <w:top w:val="nil"/>
                    <w:left w:val="nil"/>
                    <w:bottom w:val="nil"/>
                    <w:right w:val="nil"/>
                  </w:tcBorders>
                  <w:shd w:val="clear" w:color="000000" w:fill="FFFFFF"/>
                  <w:vAlign w:val="center"/>
                </w:tcPr>
                <w:p w14:paraId="059C04D1" w14:textId="7A674E6D" w:rsidR="007D3DA6" w:rsidRPr="00700FE0" w:rsidRDefault="007D3DA6" w:rsidP="007D3DA6">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w:t>
                  </w:r>
                </w:p>
              </w:tc>
            </w:tr>
            <w:tr w:rsidR="007D3DA6" w:rsidRPr="00EB2AD9" w14:paraId="29B5D90C" w14:textId="77777777" w:rsidTr="007D3DA6">
              <w:trPr>
                <w:trHeight w:val="310"/>
              </w:trPr>
              <w:tc>
                <w:tcPr>
                  <w:tcW w:w="2790" w:type="dxa"/>
                  <w:tcBorders>
                    <w:top w:val="nil"/>
                    <w:left w:val="nil"/>
                    <w:bottom w:val="nil"/>
                    <w:right w:val="nil"/>
                  </w:tcBorders>
                  <w:shd w:val="clear" w:color="000000" w:fill="FFFFFF"/>
                  <w:vAlign w:val="center"/>
                </w:tcPr>
                <w:p w14:paraId="3B853442" w14:textId="0171447F" w:rsidR="007D3DA6" w:rsidRPr="00700FE0" w:rsidRDefault="007D3DA6" w:rsidP="007D3DA6">
                  <w:pPr>
                    <w:spacing w:after="0" w:line="240" w:lineRule="auto"/>
                    <w:rPr>
                      <w:rFonts w:ascii="Arial" w:eastAsia="Times New Roman" w:hAnsi="Arial" w:cs="Arial"/>
                      <w:b/>
                      <w:bCs/>
                      <w:sz w:val="20"/>
                      <w:szCs w:val="20"/>
                    </w:rPr>
                  </w:pPr>
                  <w:r w:rsidRPr="00700FE0">
                    <w:rPr>
                      <w:rFonts w:ascii="Arial" w:eastAsia="Times New Roman" w:hAnsi="Arial" w:cs="Arial"/>
                      <w:b/>
                      <w:bCs/>
                      <w:sz w:val="20"/>
                      <w:szCs w:val="20"/>
                      <w:lang w:val="en-US"/>
                    </w:rPr>
                    <w:t>All net cash flows</w:t>
                  </w:r>
                </w:p>
              </w:tc>
              <w:tc>
                <w:tcPr>
                  <w:tcW w:w="2160" w:type="dxa"/>
                  <w:tcBorders>
                    <w:top w:val="nil"/>
                    <w:left w:val="nil"/>
                    <w:bottom w:val="nil"/>
                    <w:right w:val="nil"/>
                  </w:tcBorders>
                  <w:shd w:val="clear" w:color="000000" w:fill="FFFFFF"/>
                  <w:vAlign w:val="center"/>
                  <w:hideMark/>
                </w:tcPr>
                <w:p w14:paraId="53F4D4C7" w14:textId="17150B35" w:rsidR="007D3DA6" w:rsidRPr="00700FE0" w:rsidRDefault="007D3DA6" w:rsidP="007D3DA6">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900,851,104,693.72</w:t>
                  </w:r>
                </w:p>
              </w:tc>
              <w:tc>
                <w:tcPr>
                  <w:tcW w:w="2250" w:type="dxa"/>
                  <w:tcBorders>
                    <w:top w:val="nil"/>
                    <w:left w:val="nil"/>
                    <w:bottom w:val="nil"/>
                    <w:right w:val="nil"/>
                  </w:tcBorders>
                  <w:shd w:val="clear" w:color="000000" w:fill="FFFFFF"/>
                  <w:vAlign w:val="center"/>
                  <w:hideMark/>
                </w:tcPr>
                <w:p w14:paraId="7293C33C" w14:textId="374C74BC" w:rsidR="007D3DA6" w:rsidRPr="00700FE0" w:rsidRDefault="007D3DA6" w:rsidP="007D3DA6">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157,313,641,232.25</w:t>
                  </w:r>
                </w:p>
              </w:tc>
            </w:tr>
            <w:tr w:rsidR="007D3DA6" w:rsidRPr="00EB2AD9" w14:paraId="5FB3F1D4" w14:textId="77777777" w:rsidTr="007D3DA6">
              <w:trPr>
                <w:trHeight w:val="514"/>
              </w:trPr>
              <w:tc>
                <w:tcPr>
                  <w:tcW w:w="2790" w:type="dxa"/>
                  <w:tcBorders>
                    <w:top w:val="nil"/>
                    <w:left w:val="nil"/>
                    <w:bottom w:val="nil"/>
                    <w:right w:val="nil"/>
                  </w:tcBorders>
                  <w:shd w:val="clear" w:color="000000" w:fill="FFFFFF"/>
                  <w:vAlign w:val="center"/>
                </w:tcPr>
                <w:p w14:paraId="33062E9F" w14:textId="1AAD54CE" w:rsidR="007D3DA6" w:rsidRPr="00700FE0" w:rsidRDefault="007D3DA6" w:rsidP="007D3DA6">
                  <w:pPr>
                    <w:spacing w:after="0" w:line="240" w:lineRule="auto"/>
                    <w:rPr>
                      <w:rFonts w:ascii="Arial" w:eastAsia="Times New Roman" w:hAnsi="Arial" w:cs="Arial"/>
                      <w:sz w:val="20"/>
                      <w:szCs w:val="20"/>
                    </w:rPr>
                  </w:pPr>
                  <w:r w:rsidRPr="00700FE0">
                    <w:rPr>
                      <w:rFonts w:ascii="Arial" w:eastAsia="Times New Roman" w:hAnsi="Arial" w:cs="Arial"/>
                      <w:sz w:val="20"/>
                      <w:szCs w:val="20"/>
                      <w:lang w:val="en-US"/>
                    </w:rPr>
                    <w:t>Cash and cash equivalents at 31 Dec 2022</w:t>
                  </w:r>
                </w:p>
              </w:tc>
              <w:tc>
                <w:tcPr>
                  <w:tcW w:w="2160" w:type="dxa"/>
                  <w:tcBorders>
                    <w:top w:val="nil"/>
                    <w:left w:val="nil"/>
                    <w:bottom w:val="nil"/>
                    <w:right w:val="nil"/>
                  </w:tcBorders>
                  <w:shd w:val="clear" w:color="000000" w:fill="FFFFFF"/>
                  <w:vAlign w:val="center"/>
                  <w:hideMark/>
                </w:tcPr>
                <w:p w14:paraId="01B6FFD8" w14:textId="6E4E25C5" w:rsidR="007D3DA6" w:rsidRPr="00700FE0" w:rsidRDefault="007D3DA6" w:rsidP="007D3DA6">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1,731,709,823.19</w:t>
                  </w:r>
                </w:p>
              </w:tc>
              <w:tc>
                <w:tcPr>
                  <w:tcW w:w="2250" w:type="dxa"/>
                  <w:tcBorders>
                    <w:top w:val="nil"/>
                    <w:left w:val="nil"/>
                    <w:bottom w:val="nil"/>
                    <w:right w:val="nil"/>
                  </w:tcBorders>
                  <w:shd w:val="clear" w:color="000000" w:fill="FFFFFF"/>
                  <w:vAlign w:val="center"/>
                  <w:hideMark/>
                </w:tcPr>
                <w:p w14:paraId="6481B970" w14:textId="0679B0FC" w:rsidR="007D3DA6" w:rsidRPr="00700FE0" w:rsidRDefault="007D3DA6" w:rsidP="007D3DA6">
                  <w:pPr>
                    <w:spacing w:after="0" w:line="240" w:lineRule="auto"/>
                    <w:jc w:val="right"/>
                    <w:rPr>
                      <w:rFonts w:ascii="Arial" w:eastAsia="Times New Roman" w:hAnsi="Arial" w:cs="Arial"/>
                      <w:sz w:val="20"/>
                      <w:szCs w:val="20"/>
                      <w:lang w:val="en-US"/>
                    </w:rPr>
                  </w:pPr>
                  <w:r w:rsidRPr="00700FE0">
                    <w:rPr>
                      <w:rFonts w:ascii="Arial" w:eastAsia="Times New Roman" w:hAnsi="Arial" w:cs="Arial"/>
                      <w:sz w:val="20"/>
                      <w:szCs w:val="20"/>
                      <w:lang w:val="en-US"/>
                    </w:rPr>
                    <w:t>902,582,814,516.91</w:t>
                  </w:r>
                </w:p>
              </w:tc>
            </w:tr>
            <w:tr w:rsidR="007D3DA6" w:rsidRPr="00EB2AD9" w14:paraId="054A0DAF" w14:textId="77777777" w:rsidTr="007D3DA6">
              <w:trPr>
                <w:trHeight w:val="467"/>
              </w:trPr>
              <w:tc>
                <w:tcPr>
                  <w:tcW w:w="2790" w:type="dxa"/>
                  <w:tcBorders>
                    <w:top w:val="nil"/>
                    <w:left w:val="nil"/>
                    <w:bottom w:val="nil"/>
                    <w:right w:val="nil"/>
                  </w:tcBorders>
                  <w:shd w:val="clear" w:color="000000" w:fill="FFFFFF"/>
                  <w:vAlign w:val="center"/>
                </w:tcPr>
                <w:p w14:paraId="5B484740" w14:textId="069B24A0" w:rsidR="007D3DA6" w:rsidRPr="00700FE0" w:rsidRDefault="007D3DA6" w:rsidP="007D3DA6">
                  <w:pPr>
                    <w:spacing w:after="0" w:line="240" w:lineRule="auto"/>
                    <w:rPr>
                      <w:rFonts w:ascii="Arial" w:eastAsia="Times New Roman" w:hAnsi="Arial" w:cs="Arial"/>
                      <w:b/>
                      <w:bCs/>
                      <w:sz w:val="20"/>
                      <w:szCs w:val="20"/>
                    </w:rPr>
                  </w:pPr>
                  <w:r w:rsidRPr="00700FE0">
                    <w:rPr>
                      <w:rFonts w:ascii="Arial" w:eastAsia="Times New Roman" w:hAnsi="Arial" w:cs="Arial"/>
                      <w:b/>
                      <w:bCs/>
                      <w:sz w:val="20"/>
                      <w:szCs w:val="20"/>
                      <w:lang w:val="en-US"/>
                    </w:rPr>
                    <w:t>Cash and cash equivalents at 31 Dec 2023</w:t>
                  </w:r>
                </w:p>
              </w:tc>
              <w:tc>
                <w:tcPr>
                  <w:tcW w:w="2160" w:type="dxa"/>
                  <w:tcBorders>
                    <w:top w:val="nil"/>
                    <w:left w:val="nil"/>
                    <w:bottom w:val="nil"/>
                    <w:right w:val="nil"/>
                  </w:tcBorders>
                  <w:shd w:val="clear" w:color="000000" w:fill="FFFFFF"/>
                  <w:vAlign w:val="center"/>
                  <w:hideMark/>
                </w:tcPr>
                <w:p w14:paraId="66DE18CA" w14:textId="7D91197F" w:rsidR="007D3DA6" w:rsidRPr="00700FE0" w:rsidRDefault="007D3DA6" w:rsidP="007D3DA6">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902</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582</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814</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516</w:t>
                  </w:r>
                  <w:r w:rsidRPr="00700FE0">
                    <w:rPr>
                      <w:rFonts w:ascii="Arial" w:eastAsia="Times New Roman" w:hAnsi="Arial" w:cs="Arial"/>
                      <w:b/>
                      <w:bCs/>
                      <w:sz w:val="20"/>
                      <w:szCs w:val="20"/>
                    </w:rPr>
                    <w:t>.</w:t>
                  </w:r>
                  <w:r w:rsidRPr="00700FE0">
                    <w:rPr>
                      <w:rFonts w:ascii="Arial" w:eastAsia="Times New Roman" w:hAnsi="Arial" w:cs="Arial"/>
                      <w:b/>
                      <w:bCs/>
                      <w:sz w:val="20"/>
                      <w:szCs w:val="20"/>
                      <w:lang w:val="en-US"/>
                    </w:rPr>
                    <w:t>91</w:t>
                  </w:r>
                </w:p>
              </w:tc>
              <w:tc>
                <w:tcPr>
                  <w:tcW w:w="2250" w:type="dxa"/>
                  <w:tcBorders>
                    <w:top w:val="nil"/>
                    <w:left w:val="nil"/>
                    <w:bottom w:val="nil"/>
                    <w:right w:val="nil"/>
                  </w:tcBorders>
                  <w:shd w:val="clear" w:color="000000" w:fill="FFFFFF"/>
                  <w:vAlign w:val="center"/>
                  <w:hideMark/>
                </w:tcPr>
                <w:p w14:paraId="7169DCD7" w14:textId="2913240F" w:rsidR="007D3DA6" w:rsidRPr="00700FE0" w:rsidRDefault="007D3DA6" w:rsidP="007D3DA6">
                  <w:pPr>
                    <w:spacing w:after="0" w:line="240" w:lineRule="auto"/>
                    <w:jc w:val="right"/>
                    <w:rPr>
                      <w:rFonts w:ascii="Arial" w:eastAsia="Times New Roman" w:hAnsi="Arial" w:cs="Arial"/>
                      <w:b/>
                      <w:bCs/>
                      <w:sz w:val="20"/>
                      <w:szCs w:val="20"/>
                      <w:lang w:val="en-US"/>
                    </w:rPr>
                  </w:pPr>
                  <w:r w:rsidRPr="00700FE0">
                    <w:rPr>
                      <w:rFonts w:ascii="Arial" w:eastAsia="Times New Roman" w:hAnsi="Arial" w:cs="Arial"/>
                      <w:b/>
                      <w:bCs/>
                      <w:sz w:val="20"/>
                      <w:szCs w:val="20"/>
                      <w:lang w:val="en-US"/>
                    </w:rPr>
                    <w:t>1,059,896,455,749.16</w:t>
                  </w:r>
                </w:p>
              </w:tc>
            </w:tr>
          </w:tbl>
          <w:p w14:paraId="3AECD217" w14:textId="601AFAA2" w:rsidR="00C15312" w:rsidRPr="00EB2AD9" w:rsidRDefault="00C15312" w:rsidP="00C15312">
            <w:pPr>
              <w:rPr>
                <w:rFonts w:ascii="Arial" w:hAnsi="Arial" w:cs="Arial"/>
                <w:i/>
                <w:iCs/>
                <w:sz w:val="22"/>
              </w:rPr>
            </w:pPr>
          </w:p>
        </w:tc>
      </w:tr>
      <w:bookmarkEnd w:id="0"/>
      <w:tr w:rsidR="00C15312" w:rsidRPr="00EB2AD9" w14:paraId="487A2987" w14:textId="77777777" w:rsidTr="00B7754C">
        <w:trPr>
          <w:trHeight w:val="316"/>
        </w:trPr>
        <w:tc>
          <w:tcPr>
            <w:tcW w:w="81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26E42EB" w14:textId="35DC5674" w:rsidR="00C15312" w:rsidRPr="00EB2AD9" w:rsidRDefault="00C15312" w:rsidP="00B7754C">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2.</w:t>
            </w:r>
          </w:p>
        </w:tc>
        <w:tc>
          <w:tcPr>
            <w:tcW w:w="9900" w:type="dxa"/>
            <w:gridSpan w:val="3"/>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B09F7F3" w14:textId="7653BFD1" w:rsidR="00C15312" w:rsidRPr="00EB2AD9" w:rsidRDefault="00C730E3" w:rsidP="00A47432">
            <w:pPr>
              <w:spacing w:after="0" w:line="240" w:lineRule="auto"/>
              <w:rPr>
                <w:rFonts w:ascii="Arial" w:eastAsia="Times New Roman" w:hAnsi="Arial" w:cs="Arial"/>
                <w:i/>
                <w:iCs/>
                <w:color w:val="000000"/>
                <w:sz w:val="22"/>
                <w:lang w:eastAsia="mn-MN"/>
              </w:rPr>
            </w:pPr>
            <w:r w:rsidRPr="00EB2AD9">
              <w:rPr>
                <w:rFonts w:ascii="Arial" w:hAnsi="Arial" w:cs="Arial"/>
                <w:sz w:val="22"/>
              </w:rPr>
              <w:t xml:space="preserve">Opinion of the Audit Committee of the Board of Directors, which reviewed and approved the </w:t>
            </w:r>
            <w:r w:rsidRPr="00EB2AD9">
              <w:rPr>
                <w:rFonts w:ascii="Arial" w:hAnsi="Arial" w:cs="Arial"/>
                <w:sz w:val="22"/>
                <w:lang w:val="en-US"/>
              </w:rPr>
              <w:t>semi</w:t>
            </w:r>
            <w:r w:rsidRPr="00EB2AD9">
              <w:rPr>
                <w:rFonts w:ascii="Arial" w:hAnsi="Arial" w:cs="Arial"/>
                <w:sz w:val="22"/>
              </w:rPr>
              <w:t>-</w:t>
            </w:r>
            <w:r w:rsidRPr="00EB2AD9">
              <w:rPr>
                <w:rFonts w:ascii="Arial" w:hAnsi="Arial" w:cs="Arial"/>
                <w:sz w:val="22"/>
                <w:lang w:val="en-US"/>
              </w:rPr>
              <w:t>annual</w:t>
            </w:r>
            <w:r w:rsidRPr="00EB2AD9">
              <w:rPr>
                <w:rFonts w:ascii="Arial" w:hAnsi="Arial" w:cs="Arial"/>
                <w:sz w:val="22"/>
              </w:rPr>
              <w:t xml:space="preserve"> financial statements</w:t>
            </w:r>
          </w:p>
        </w:tc>
      </w:tr>
      <w:tr w:rsidR="006B7AC6" w:rsidRPr="00EB2AD9" w14:paraId="769863D7" w14:textId="77777777" w:rsidTr="00CE3900">
        <w:trPr>
          <w:trHeight w:val="440"/>
        </w:trPr>
        <w:tc>
          <w:tcPr>
            <w:tcW w:w="10710" w:type="dxa"/>
            <w:gridSpan w:val="4"/>
            <w:tcBorders>
              <w:top w:val="nil"/>
              <w:left w:val="single" w:sz="4" w:space="0" w:color="auto"/>
              <w:bottom w:val="single" w:sz="4" w:space="0" w:color="auto"/>
              <w:right w:val="single" w:sz="4" w:space="0" w:color="auto"/>
            </w:tcBorders>
            <w:shd w:val="clear" w:color="auto" w:fill="auto"/>
            <w:hideMark/>
          </w:tcPr>
          <w:p w14:paraId="77DE9AC5" w14:textId="77777777" w:rsidR="00CE3900" w:rsidRPr="00EB2AD9" w:rsidRDefault="00CE3900" w:rsidP="00CE3900">
            <w:pPr>
              <w:spacing w:after="0" w:line="240" w:lineRule="auto"/>
              <w:jc w:val="both"/>
              <w:rPr>
                <w:rFonts w:ascii="Arial" w:eastAsia="Times New Roman" w:hAnsi="Arial" w:cs="Arial"/>
                <w:i/>
                <w:iCs/>
                <w:color w:val="000000"/>
                <w:sz w:val="22"/>
                <w:lang w:eastAsia="mn-MN"/>
              </w:rPr>
            </w:pPr>
          </w:p>
          <w:p w14:paraId="78505396" w14:textId="1251EDDE" w:rsidR="005F1737" w:rsidRPr="00EB2AD9" w:rsidRDefault="005F1737" w:rsidP="00CE3900">
            <w:pPr>
              <w:spacing w:after="0" w:line="240" w:lineRule="auto"/>
              <w:jc w:val="both"/>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 xml:space="preserve">The Audit Committee of the Board of Directors discussed and finalized the financial report for the first half of the year for </w:t>
            </w:r>
            <w:r w:rsidRPr="00EB2AD9">
              <w:rPr>
                <w:rFonts w:ascii="Arial" w:eastAsia="Times New Roman" w:hAnsi="Arial" w:cs="Arial"/>
                <w:i/>
                <w:iCs/>
                <w:color w:val="000000"/>
                <w:sz w:val="22"/>
                <w:lang w:val="en-US" w:eastAsia="mn-MN"/>
              </w:rPr>
              <w:t>Mongolian Stock Exchange</w:t>
            </w:r>
            <w:r w:rsidRPr="00EB2AD9">
              <w:rPr>
                <w:rFonts w:ascii="Arial" w:eastAsia="Times New Roman" w:hAnsi="Arial" w:cs="Arial"/>
                <w:i/>
                <w:iCs/>
                <w:color w:val="000000"/>
                <w:sz w:val="22"/>
                <w:lang w:eastAsia="mn-MN"/>
              </w:rPr>
              <w:t xml:space="preserve"> JSC during its meeting on July 29, 2024.</w:t>
            </w:r>
          </w:p>
          <w:p w14:paraId="4DD39D8F" w14:textId="3DD39037" w:rsidR="006B7AC6" w:rsidRPr="00EB2AD9" w:rsidRDefault="00CE3900" w:rsidP="00CE3900">
            <w:pPr>
              <w:spacing w:after="0" w:line="240" w:lineRule="auto"/>
              <w:jc w:val="both"/>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 xml:space="preserve"> </w:t>
            </w:r>
          </w:p>
          <w:p w14:paraId="0C09FF6B" w14:textId="76133814" w:rsidR="00CF6518" w:rsidRPr="00EB2AD9" w:rsidRDefault="00CF6518" w:rsidP="00CE3900">
            <w:pPr>
              <w:spacing w:after="0" w:line="240" w:lineRule="auto"/>
              <w:jc w:val="both"/>
              <w:rPr>
                <w:rFonts w:ascii="Arial" w:eastAsia="Times New Roman" w:hAnsi="Arial" w:cs="Arial"/>
                <w:i/>
                <w:iCs/>
                <w:color w:val="000000"/>
                <w:sz w:val="22"/>
                <w:lang w:eastAsia="mn-MN"/>
              </w:rPr>
            </w:pPr>
          </w:p>
        </w:tc>
      </w:tr>
      <w:bookmarkEnd w:id="1"/>
      <w:tr w:rsidR="00C15312" w:rsidRPr="00EB2AD9" w14:paraId="2E0E2A63" w14:textId="77777777" w:rsidTr="00B7754C">
        <w:trPr>
          <w:trHeight w:val="953"/>
        </w:trPr>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02F6A85" w14:textId="5174382D" w:rsidR="00C15312" w:rsidRPr="00EB2AD9" w:rsidRDefault="00C15312" w:rsidP="00B7754C">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3.</w:t>
            </w:r>
          </w:p>
        </w:tc>
        <w:tc>
          <w:tcPr>
            <w:tcW w:w="9900" w:type="dxa"/>
            <w:gridSpan w:val="3"/>
            <w:tcBorders>
              <w:top w:val="single" w:sz="4" w:space="0" w:color="auto"/>
              <w:left w:val="nil"/>
              <w:bottom w:val="single" w:sz="4" w:space="0" w:color="auto"/>
              <w:right w:val="single" w:sz="4" w:space="0" w:color="000000" w:themeColor="text1"/>
            </w:tcBorders>
            <w:shd w:val="clear" w:color="auto" w:fill="D9E2F3" w:themeFill="accent1" w:themeFillTint="33"/>
            <w:vAlign w:val="center"/>
            <w:hideMark/>
          </w:tcPr>
          <w:p w14:paraId="68203785" w14:textId="77777777" w:rsidR="004236E9" w:rsidRPr="00EB2AD9" w:rsidRDefault="004236E9" w:rsidP="00C15312">
            <w:pPr>
              <w:spacing w:after="0" w:line="240" w:lineRule="auto"/>
              <w:rPr>
                <w:rFonts w:ascii="Arial" w:eastAsia="Times New Roman" w:hAnsi="Arial" w:cs="Arial"/>
                <w:i/>
                <w:iCs/>
                <w:color w:val="000000"/>
                <w:sz w:val="22"/>
                <w:lang w:eastAsia="mn-MN"/>
              </w:rPr>
            </w:pPr>
          </w:p>
          <w:p w14:paraId="59ED2194" w14:textId="77777777" w:rsidR="004236E9" w:rsidRPr="00EB2AD9" w:rsidRDefault="004236E9" w:rsidP="004236E9">
            <w:pPr>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Management reports and conclusions based on external and internal factors affecting the issuer's financial operations, as well as the analysis of financial statements, income, expenses, and profit indicators during the reporting period.</w:t>
            </w:r>
          </w:p>
          <w:p w14:paraId="56163C25" w14:textId="5EDCDBE7" w:rsidR="004236E9" w:rsidRPr="00EB2AD9" w:rsidRDefault="004236E9" w:rsidP="00C15312">
            <w:pPr>
              <w:spacing w:after="0" w:line="240" w:lineRule="auto"/>
              <w:rPr>
                <w:rFonts w:ascii="Arial" w:eastAsia="Times New Roman" w:hAnsi="Arial" w:cs="Arial"/>
                <w:i/>
                <w:iCs/>
                <w:color w:val="000000"/>
                <w:sz w:val="22"/>
                <w:lang w:val="en-US" w:eastAsia="mn-MN"/>
              </w:rPr>
            </w:pPr>
          </w:p>
        </w:tc>
      </w:tr>
      <w:tr w:rsidR="00C15312" w:rsidRPr="00EB2AD9" w14:paraId="1AF3FC68" w14:textId="77777777" w:rsidTr="00013D12">
        <w:trPr>
          <w:trHeight w:val="656"/>
        </w:trPr>
        <w:tc>
          <w:tcPr>
            <w:tcW w:w="810"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07CF4B9" w14:textId="1982AA0B" w:rsidR="00C15312" w:rsidRPr="00EB2AD9" w:rsidRDefault="00C15312" w:rsidP="00B7754C">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3.1.</w:t>
            </w:r>
          </w:p>
        </w:tc>
        <w:tc>
          <w:tcPr>
            <w:tcW w:w="2160" w:type="dxa"/>
            <w:tcBorders>
              <w:top w:val="nil"/>
              <w:left w:val="nil"/>
              <w:bottom w:val="single" w:sz="4" w:space="0" w:color="auto"/>
              <w:right w:val="single" w:sz="4" w:space="0" w:color="auto"/>
            </w:tcBorders>
            <w:shd w:val="clear" w:color="auto" w:fill="D9E2F3" w:themeFill="accent1" w:themeFillTint="33"/>
            <w:vAlign w:val="center"/>
            <w:hideMark/>
          </w:tcPr>
          <w:p w14:paraId="04C55878" w14:textId="76DA4FA9" w:rsidR="00C15312" w:rsidRPr="00EB2AD9" w:rsidRDefault="00733CEE" w:rsidP="00C15312">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Operational performance /Financial ratios /</w:t>
            </w:r>
          </w:p>
        </w:tc>
        <w:tc>
          <w:tcPr>
            <w:tcW w:w="7740" w:type="dxa"/>
            <w:gridSpan w:val="2"/>
            <w:tcBorders>
              <w:top w:val="nil"/>
              <w:left w:val="nil"/>
              <w:bottom w:val="single" w:sz="4" w:space="0" w:color="auto"/>
              <w:right w:val="single" w:sz="4" w:space="0" w:color="auto"/>
            </w:tcBorders>
            <w:shd w:val="clear" w:color="auto" w:fill="auto"/>
            <w:noWrap/>
            <w:hideMark/>
          </w:tcPr>
          <w:tbl>
            <w:tblPr>
              <w:tblStyle w:val="TableGridLight"/>
              <w:tblW w:w="5000" w:type="pct"/>
              <w:tblLayout w:type="fixed"/>
              <w:tblLook w:val="04A0" w:firstRow="1" w:lastRow="0" w:firstColumn="1" w:lastColumn="0" w:noHBand="0" w:noVBand="1"/>
            </w:tblPr>
            <w:tblGrid>
              <w:gridCol w:w="1860"/>
              <w:gridCol w:w="810"/>
              <w:gridCol w:w="810"/>
              <w:gridCol w:w="810"/>
              <w:gridCol w:w="810"/>
              <w:gridCol w:w="810"/>
              <w:gridCol w:w="714"/>
              <w:gridCol w:w="890"/>
            </w:tblGrid>
            <w:tr w:rsidR="00B15B32" w:rsidRPr="00EB2AD9" w14:paraId="18DEE4DB" w14:textId="77777777" w:rsidTr="00B15B32">
              <w:trPr>
                <w:trHeight w:val="435"/>
              </w:trPr>
              <w:tc>
                <w:tcPr>
                  <w:tcW w:w="1238" w:type="pct"/>
                  <w:noWrap/>
                  <w:vAlign w:val="center"/>
                  <w:hideMark/>
                </w:tcPr>
                <w:p w14:paraId="6A10B15A" w14:textId="3E9B7FDA" w:rsidR="00567CF7" w:rsidRPr="00EB2AD9" w:rsidRDefault="00FB4B03" w:rsidP="00845DE3">
                  <w:pPr>
                    <w:jc w:val="center"/>
                    <w:rPr>
                      <w:rFonts w:ascii="Arial" w:eastAsia="Times New Roman" w:hAnsi="Arial" w:cs="Arial"/>
                      <w:b/>
                      <w:bCs/>
                      <w:color w:val="000000" w:themeColor="text1"/>
                      <w:sz w:val="22"/>
                    </w:rPr>
                  </w:pPr>
                  <w:r w:rsidRPr="00EB2AD9">
                    <w:rPr>
                      <w:rFonts w:ascii="Arial" w:eastAsia="Times New Roman" w:hAnsi="Arial" w:cs="Arial"/>
                      <w:b/>
                      <w:bCs/>
                      <w:sz w:val="22"/>
                      <w:lang w:val="en-US"/>
                    </w:rPr>
                    <w:t>Items</w:t>
                  </w:r>
                </w:p>
              </w:tc>
              <w:tc>
                <w:tcPr>
                  <w:tcW w:w="539" w:type="pct"/>
                  <w:noWrap/>
                  <w:vAlign w:val="center"/>
                  <w:hideMark/>
                </w:tcPr>
                <w:p w14:paraId="1D70BC90" w14:textId="77777777" w:rsidR="00567CF7" w:rsidRPr="00EB2AD9" w:rsidRDefault="00567CF7" w:rsidP="00845DE3">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2019</w:t>
                  </w:r>
                </w:p>
              </w:tc>
              <w:tc>
                <w:tcPr>
                  <w:tcW w:w="539" w:type="pct"/>
                  <w:noWrap/>
                  <w:vAlign w:val="center"/>
                  <w:hideMark/>
                </w:tcPr>
                <w:p w14:paraId="08FEA540" w14:textId="77777777" w:rsidR="00567CF7" w:rsidRPr="00EB2AD9" w:rsidRDefault="00567CF7" w:rsidP="00845DE3">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2020</w:t>
                  </w:r>
                </w:p>
              </w:tc>
              <w:tc>
                <w:tcPr>
                  <w:tcW w:w="539" w:type="pct"/>
                  <w:noWrap/>
                  <w:vAlign w:val="center"/>
                  <w:hideMark/>
                </w:tcPr>
                <w:p w14:paraId="2C163FEC" w14:textId="77777777" w:rsidR="00567CF7" w:rsidRPr="00EB2AD9" w:rsidRDefault="00567CF7" w:rsidP="00845DE3">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2021</w:t>
                  </w:r>
                </w:p>
              </w:tc>
              <w:tc>
                <w:tcPr>
                  <w:tcW w:w="539" w:type="pct"/>
                  <w:noWrap/>
                  <w:vAlign w:val="center"/>
                  <w:hideMark/>
                </w:tcPr>
                <w:p w14:paraId="6C9F18FF" w14:textId="77777777" w:rsidR="00567CF7" w:rsidRPr="00EB2AD9" w:rsidRDefault="00567CF7" w:rsidP="00845DE3">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2022</w:t>
                  </w:r>
                </w:p>
              </w:tc>
              <w:tc>
                <w:tcPr>
                  <w:tcW w:w="539" w:type="pct"/>
                  <w:noWrap/>
                  <w:vAlign w:val="center"/>
                  <w:hideMark/>
                </w:tcPr>
                <w:p w14:paraId="2E8EEDCB" w14:textId="77777777" w:rsidR="00567CF7" w:rsidRPr="00EB2AD9" w:rsidRDefault="00567CF7" w:rsidP="00845DE3">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2023-II</w:t>
                  </w:r>
                </w:p>
              </w:tc>
              <w:tc>
                <w:tcPr>
                  <w:tcW w:w="475" w:type="pct"/>
                  <w:noWrap/>
                  <w:vAlign w:val="center"/>
                  <w:hideMark/>
                </w:tcPr>
                <w:p w14:paraId="3C4541AA" w14:textId="77777777" w:rsidR="00567CF7" w:rsidRPr="00EB2AD9" w:rsidRDefault="00567CF7" w:rsidP="00845DE3">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2023</w:t>
                  </w:r>
                </w:p>
              </w:tc>
              <w:tc>
                <w:tcPr>
                  <w:tcW w:w="592" w:type="pct"/>
                  <w:noWrap/>
                  <w:vAlign w:val="center"/>
                  <w:hideMark/>
                </w:tcPr>
                <w:p w14:paraId="47F4E415" w14:textId="77777777" w:rsidR="00567CF7" w:rsidRPr="00EB2AD9" w:rsidRDefault="00567CF7" w:rsidP="00845DE3">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2024-II</w:t>
                  </w:r>
                </w:p>
              </w:tc>
            </w:tr>
            <w:tr w:rsidR="00B15B32" w:rsidRPr="00EB2AD9" w14:paraId="46452100" w14:textId="77777777" w:rsidTr="00B15B32">
              <w:trPr>
                <w:trHeight w:val="255"/>
              </w:trPr>
              <w:tc>
                <w:tcPr>
                  <w:tcW w:w="1238" w:type="pct"/>
                  <w:noWrap/>
                  <w:vAlign w:val="center"/>
                  <w:hideMark/>
                </w:tcPr>
                <w:p w14:paraId="39FE5643" w14:textId="5840379B" w:rsidR="00567CF7" w:rsidRPr="00EB2AD9" w:rsidRDefault="00563595" w:rsidP="00845DE3">
                  <w:pPr>
                    <w:rPr>
                      <w:rFonts w:ascii="Arial" w:eastAsia="Times New Roman" w:hAnsi="Arial" w:cs="Arial"/>
                      <w:color w:val="000000"/>
                      <w:sz w:val="22"/>
                    </w:rPr>
                  </w:pPr>
                  <w:r w:rsidRPr="00EB2AD9">
                    <w:rPr>
                      <w:rFonts w:ascii="Arial" w:eastAsia="Times New Roman" w:hAnsi="Arial" w:cs="Arial"/>
                      <w:color w:val="000000"/>
                      <w:sz w:val="22"/>
                    </w:rPr>
                    <w:t>Net profit percen</w:t>
                  </w:r>
                  <w:r w:rsidR="00AD0142">
                    <w:rPr>
                      <w:rFonts w:ascii="Arial" w:eastAsia="Times New Roman" w:hAnsi="Arial" w:cs="Arial"/>
                      <w:color w:val="000000"/>
                      <w:sz w:val="22"/>
                    </w:rPr>
                    <w:t xml:space="preserve">t </w:t>
                  </w:r>
                </w:p>
              </w:tc>
              <w:tc>
                <w:tcPr>
                  <w:tcW w:w="539" w:type="pct"/>
                  <w:noWrap/>
                  <w:vAlign w:val="center"/>
                  <w:hideMark/>
                </w:tcPr>
                <w:p w14:paraId="6D4024B9"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100%</w:t>
                  </w:r>
                </w:p>
              </w:tc>
              <w:tc>
                <w:tcPr>
                  <w:tcW w:w="539" w:type="pct"/>
                  <w:noWrap/>
                  <w:vAlign w:val="center"/>
                  <w:hideMark/>
                </w:tcPr>
                <w:p w14:paraId="50CDCBFC"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100%</w:t>
                  </w:r>
                </w:p>
              </w:tc>
              <w:tc>
                <w:tcPr>
                  <w:tcW w:w="539" w:type="pct"/>
                  <w:noWrap/>
                  <w:vAlign w:val="center"/>
                  <w:hideMark/>
                </w:tcPr>
                <w:p w14:paraId="02176947"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100%</w:t>
                  </w:r>
                </w:p>
              </w:tc>
              <w:tc>
                <w:tcPr>
                  <w:tcW w:w="539" w:type="pct"/>
                  <w:noWrap/>
                  <w:vAlign w:val="center"/>
                  <w:hideMark/>
                </w:tcPr>
                <w:p w14:paraId="572E7D64"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100%</w:t>
                  </w:r>
                </w:p>
              </w:tc>
              <w:tc>
                <w:tcPr>
                  <w:tcW w:w="539" w:type="pct"/>
                  <w:noWrap/>
                  <w:vAlign w:val="center"/>
                  <w:hideMark/>
                </w:tcPr>
                <w:p w14:paraId="2D8D52CD"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100%</w:t>
                  </w:r>
                </w:p>
              </w:tc>
              <w:tc>
                <w:tcPr>
                  <w:tcW w:w="475" w:type="pct"/>
                  <w:noWrap/>
                  <w:vAlign w:val="center"/>
                  <w:hideMark/>
                </w:tcPr>
                <w:p w14:paraId="21AE5B6A"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100%</w:t>
                  </w:r>
                </w:p>
              </w:tc>
              <w:tc>
                <w:tcPr>
                  <w:tcW w:w="592" w:type="pct"/>
                  <w:noWrap/>
                  <w:vAlign w:val="center"/>
                  <w:hideMark/>
                </w:tcPr>
                <w:p w14:paraId="38F5BC49"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100%</w:t>
                  </w:r>
                </w:p>
              </w:tc>
            </w:tr>
            <w:tr w:rsidR="00B15B32" w:rsidRPr="00EB2AD9" w14:paraId="1E004B2F" w14:textId="77777777" w:rsidTr="00B15B32">
              <w:trPr>
                <w:trHeight w:val="255"/>
              </w:trPr>
              <w:tc>
                <w:tcPr>
                  <w:tcW w:w="1238" w:type="pct"/>
                  <w:noWrap/>
                  <w:vAlign w:val="center"/>
                  <w:hideMark/>
                </w:tcPr>
                <w:p w14:paraId="650FC6BA" w14:textId="635ACF3C" w:rsidR="00567CF7" w:rsidRPr="00EB2AD9" w:rsidRDefault="00563595" w:rsidP="00845DE3">
                  <w:pPr>
                    <w:rPr>
                      <w:rFonts w:ascii="Arial" w:eastAsia="Times New Roman" w:hAnsi="Arial" w:cs="Arial"/>
                      <w:color w:val="000000"/>
                      <w:sz w:val="22"/>
                    </w:rPr>
                  </w:pPr>
                  <w:r w:rsidRPr="00EB2AD9">
                    <w:rPr>
                      <w:rFonts w:ascii="Arial" w:eastAsia="Times New Roman" w:hAnsi="Arial" w:cs="Arial"/>
                      <w:color w:val="000000"/>
                      <w:sz w:val="22"/>
                    </w:rPr>
                    <w:t xml:space="preserve">Gross profit percent                                   </w:t>
                  </w:r>
                </w:p>
              </w:tc>
              <w:tc>
                <w:tcPr>
                  <w:tcW w:w="539" w:type="pct"/>
                  <w:noWrap/>
                  <w:vAlign w:val="center"/>
                  <w:hideMark/>
                </w:tcPr>
                <w:p w14:paraId="2947C396"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-77%</w:t>
                  </w:r>
                </w:p>
              </w:tc>
              <w:tc>
                <w:tcPr>
                  <w:tcW w:w="539" w:type="pct"/>
                  <w:noWrap/>
                  <w:vAlign w:val="center"/>
                  <w:hideMark/>
                </w:tcPr>
                <w:p w14:paraId="41270831"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-94%</w:t>
                  </w:r>
                </w:p>
              </w:tc>
              <w:tc>
                <w:tcPr>
                  <w:tcW w:w="539" w:type="pct"/>
                  <w:noWrap/>
                  <w:vAlign w:val="center"/>
                  <w:hideMark/>
                </w:tcPr>
                <w:p w14:paraId="11720A35"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58%</w:t>
                  </w:r>
                </w:p>
              </w:tc>
              <w:tc>
                <w:tcPr>
                  <w:tcW w:w="539" w:type="pct"/>
                  <w:noWrap/>
                  <w:vAlign w:val="center"/>
                  <w:hideMark/>
                </w:tcPr>
                <w:p w14:paraId="5EFE54E4"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15%</w:t>
                  </w:r>
                </w:p>
              </w:tc>
              <w:tc>
                <w:tcPr>
                  <w:tcW w:w="539" w:type="pct"/>
                  <w:noWrap/>
                  <w:vAlign w:val="center"/>
                  <w:hideMark/>
                </w:tcPr>
                <w:p w14:paraId="5E0B8D29"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42%</w:t>
                  </w:r>
                </w:p>
              </w:tc>
              <w:tc>
                <w:tcPr>
                  <w:tcW w:w="475" w:type="pct"/>
                  <w:noWrap/>
                  <w:vAlign w:val="center"/>
                  <w:hideMark/>
                </w:tcPr>
                <w:p w14:paraId="7C335208"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77%</w:t>
                  </w:r>
                </w:p>
              </w:tc>
              <w:tc>
                <w:tcPr>
                  <w:tcW w:w="592" w:type="pct"/>
                  <w:noWrap/>
                  <w:vAlign w:val="center"/>
                  <w:hideMark/>
                </w:tcPr>
                <w:p w14:paraId="57DEEB93"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206%</w:t>
                  </w:r>
                </w:p>
              </w:tc>
            </w:tr>
            <w:tr w:rsidR="00B15B32" w:rsidRPr="00EB2AD9" w14:paraId="2CE7205C" w14:textId="77777777" w:rsidTr="00B15B32">
              <w:trPr>
                <w:trHeight w:val="255"/>
              </w:trPr>
              <w:tc>
                <w:tcPr>
                  <w:tcW w:w="1238" w:type="pct"/>
                  <w:noWrap/>
                  <w:vAlign w:val="center"/>
                  <w:hideMark/>
                </w:tcPr>
                <w:p w14:paraId="0C510951" w14:textId="1074DC41" w:rsidR="00567CF7" w:rsidRPr="00EB2AD9" w:rsidRDefault="00563595" w:rsidP="00845DE3">
                  <w:pPr>
                    <w:rPr>
                      <w:rFonts w:ascii="Arial" w:eastAsia="Times New Roman" w:hAnsi="Arial" w:cs="Arial"/>
                      <w:color w:val="000000"/>
                      <w:sz w:val="22"/>
                    </w:rPr>
                  </w:pPr>
                  <w:r w:rsidRPr="00EB2AD9">
                    <w:rPr>
                      <w:rFonts w:ascii="Arial" w:eastAsia="Times New Roman" w:hAnsi="Arial" w:cs="Arial"/>
                      <w:color w:val="000000"/>
                      <w:sz w:val="22"/>
                    </w:rPr>
                    <w:t xml:space="preserve">Return on equity  </w:t>
                  </w:r>
                </w:p>
              </w:tc>
              <w:tc>
                <w:tcPr>
                  <w:tcW w:w="539" w:type="pct"/>
                  <w:noWrap/>
                  <w:vAlign w:val="center"/>
                  <w:hideMark/>
                </w:tcPr>
                <w:p w14:paraId="1BDF2798"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-51%</w:t>
                  </w:r>
                </w:p>
              </w:tc>
              <w:tc>
                <w:tcPr>
                  <w:tcW w:w="539" w:type="pct"/>
                  <w:noWrap/>
                  <w:vAlign w:val="center"/>
                  <w:hideMark/>
                </w:tcPr>
                <w:p w14:paraId="5AFEAA6A"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-82%</w:t>
                  </w:r>
                </w:p>
              </w:tc>
              <w:tc>
                <w:tcPr>
                  <w:tcW w:w="539" w:type="pct"/>
                  <w:noWrap/>
                  <w:vAlign w:val="center"/>
                  <w:hideMark/>
                </w:tcPr>
                <w:p w14:paraId="76DC872F"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72%</w:t>
                  </w:r>
                </w:p>
              </w:tc>
              <w:tc>
                <w:tcPr>
                  <w:tcW w:w="539" w:type="pct"/>
                  <w:noWrap/>
                  <w:vAlign w:val="center"/>
                  <w:hideMark/>
                </w:tcPr>
                <w:p w14:paraId="053B1EBF"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3%</w:t>
                  </w:r>
                </w:p>
              </w:tc>
              <w:tc>
                <w:tcPr>
                  <w:tcW w:w="539" w:type="pct"/>
                  <w:noWrap/>
                  <w:vAlign w:val="center"/>
                  <w:hideMark/>
                </w:tcPr>
                <w:p w14:paraId="481744DA"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6%</w:t>
                  </w:r>
                </w:p>
              </w:tc>
              <w:tc>
                <w:tcPr>
                  <w:tcW w:w="475" w:type="pct"/>
                  <w:noWrap/>
                  <w:vAlign w:val="center"/>
                  <w:hideMark/>
                </w:tcPr>
                <w:p w14:paraId="3FB93344"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21%</w:t>
                  </w:r>
                </w:p>
              </w:tc>
              <w:tc>
                <w:tcPr>
                  <w:tcW w:w="592" w:type="pct"/>
                  <w:noWrap/>
                  <w:vAlign w:val="center"/>
                  <w:hideMark/>
                </w:tcPr>
                <w:p w14:paraId="3EF089E6"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31%</w:t>
                  </w:r>
                </w:p>
              </w:tc>
            </w:tr>
            <w:tr w:rsidR="00B15B32" w:rsidRPr="00EB2AD9" w14:paraId="30887739" w14:textId="77777777" w:rsidTr="00B15B32">
              <w:trPr>
                <w:trHeight w:val="255"/>
              </w:trPr>
              <w:tc>
                <w:tcPr>
                  <w:tcW w:w="1238" w:type="pct"/>
                  <w:noWrap/>
                  <w:vAlign w:val="center"/>
                  <w:hideMark/>
                </w:tcPr>
                <w:p w14:paraId="39D1412A" w14:textId="7CD39C62" w:rsidR="00567CF7" w:rsidRPr="00EB2AD9" w:rsidRDefault="00563595" w:rsidP="00845DE3">
                  <w:pPr>
                    <w:rPr>
                      <w:rFonts w:ascii="Arial" w:eastAsia="Times New Roman" w:hAnsi="Arial" w:cs="Arial"/>
                      <w:color w:val="000000"/>
                      <w:sz w:val="22"/>
                    </w:rPr>
                  </w:pPr>
                  <w:r w:rsidRPr="00EB2AD9">
                    <w:rPr>
                      <w:rFonts w:ascii="Arial" w:eastAsia="Times New Roman" w:hAnsi="Arial" w:cs="Arial"/>
                      <w:color w:val="000000"/>
                      <w:sz w:val="22"/>
                    </w:rPr>
                    <w:t>Return on Total Assets</w:t>
                  </w:r>
                </w:p>
              </w:tc>
              <w:tc>
                <w:tcPr>
                  <w:tcW w:w="539" w:type="pct"/>
                  <w:noWrap/>
                  <w:vAlign w:val="center"/>
                  <w:hideMark/>
                </w:tcPr>
                <w:p w14:paraId="2BBDB6A2"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-30%</w:t>
                  </w:r>
                </w:p>
              </w:tc>
              <w:tc>
                <w:tcPr>
                  <w:tcW w:w="539" w:type="pct"/>
                  <w:noWrap/>
                  <w:vAlign w:val="center"/>
                  <w:hideMark/>
                </w:tcPr>
                <w:p w14:paraId="28143E8B" w14:textId="3CAA89A6"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-30%</w:t>
                  </w:r>
                </w:p>
              </w:tc>
              <w:tc>
                <w:tcPr>
                  <w:tcW w:w="539" w:type="pct"/>
                  <w:noWrap/>
                  <w:vAlign w:val="center"/>
                  <w:hideMark/>
                </w:tcPr>
                <w:p w14:paraId="2BB01E3C"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59%</w:t>
                  </w:r>
                </w:p>
              </w:tc>
              <w:tc>
                <w:tcPr>
                  <w:tcW w:w="539" w:type="pct"/>
                  <w:noWrap/>
                  <w:vAlign w:val="center"/>
                  <w:hideMark/>
                </w:tcPr>
                <w:p w14:paraId="1E849F11"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3%</w:t>
                  </w:r>
                </w:p>
              </w:tc>
              <w:tc>
                <w:tcPr>
                  <w:tcW w:w="539" w:type="pct"/>
                  <w:noWrap/>
                  <w:vAlign w:val="center"/>
                  <w:hideMark/>
                </w:tcPr>
                <w:p w14:paraId="60D71CA6"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2%</w:t>
                  </w:r>
                </w:p>
              </w:tc>
              <w:tc>
                <w:tcPr>
                  <w:tcW w:w="475" w:type="pct"/>
                  <w:noWrap/>
                  <w:vAlign w:val="center"/>
                  <w:hideMark/>
                </w:tcPr>
                <w:p w14:paraId="37730577"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1%</w:t>
                  </w:r>
                </w:p>
              </w:tc>
              <w:tc>
                <w:tcPr>
                  <w:tcW w:w="592" w:type="pct"/>
                  <w:noWrap/>
                  <w:vAlign w:val="center"/>
                  <w:hideMark/>
                </w:tcPr>
                <w:p w14:paraId="52A5750E" w14:textId="77777777" w:rsidR="00567CF7" w:rsidRPr="00EB2AD9" w:rsidRDefault="00567CF7" w:rsidP="00845DE3">
                  <w:pPr>
                    <w:jc w:val="center"/>
                    <w:rPr>
                      <w:rFonts w:ascii="Arial" w:eastAsia="Times New Roman" w:hAnsi="Arial" w:cs="Arial"/>
                      <w:color w:val="000000"/>
                      <w:sz w:val="22"/>
                    </w:rPr>
                  </w:pPr>
                  <w:r w:rsidRPr="00EB2AD9">
                    <w:rPr>
                      <w:rFonts w:ascii="Arial" w:eastAsia="Times New Roman" w:hAnsi="Arial" w:cs="Arial"/>
                      <w:color w:val="000000"/>
                      <w:sz w:val="22"/>
                    </w:rPr>
                    <w:t>2%</w:t>
                  </w:r>
                </w:p>
              </w:tc>
            </w:tr>
          </w:tbl>
          <w:p w14:paraId="7E529713" w14:textId="77777777" w:rsidR="00567CF7" w:rsidRDefault="00567CF7" w:rsidP="00567CF7">
            <w:pPr>
              <w:spacing w:line="360" w:lineRule="auto"/>
              <w:rPr>
                <w:rFonts w:ascii="Arial" w:hAnsi="Arial" w:cs="Arial"/>
                <w:sz w:val="22"/>
              </w:rPr>
            </w:pPr>
          </w:p>
          <w:p w14:paraId="29EE07B1" w14:textId="20174940" w:rsidR="00013D12" w:rsidRPr="00EB2AD9" w:rsidRDefault="00013D12" w:rsidP="00567CF7">
            <w:pPr>
              <w:spacing w:line="360" w:lineRule="auto"/>
              <w:rPr>
                <w:rFonts w:ascii="Arial" w:hAnsi="Arial" w:cs="Arial"/>
                <w:sz w:val="22"/>
              </w:rPr>
            </w:pPr>
            <w:r>
              <w:rPr>
                <w:noProof/>
              </w:rPr>
              <w:lastRenderedPageBreak/>
              <w:drawing>
                <wp:inline distT="0" distB="0" distL="0" distR="0" wp14:anchorId="3861D9B1" wp14:editId="1CE9330B">
                  <wp:extent cx="4572000" cy="2743200"/>
                  <wp:effectExtent l="0" t="0" r="0" b="0"/>
                  <wp:docPr id="1753244566" name="Chart 1">
                    <a:extLst xmlns:a="http://schemas.openxmlformats.org/drawingml/2006/main">
                      <a:ext uri="{FF2B5EF4-FFF2-40B4-BE49-F238E27FC236}">
                        <a16:creationId xmlns:a16="http://schemas.microsoft.com/office/drawing/2014/main" id="{87A9B414-837B-2361-BF8C-640F2A1296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9AB077A" w14:textId="0D59F0CF" w:rsidR="00567CF7" w:rsidRPr="00EB2AD9" w:rsidRDefault="00567CF7" w:rsidP="00D25F85">
            <w:pPr>
              <w:spacing w:line="360" w:lineRule="auto"/>
              <w:jc w:val="center"/>
              <w:rPr>
                <w:rFonts w:ascii="Arial" w:hAnsi="Arial" w:cs="Arial"/>
                <w:sz w:val="22"/>
              </w:rPr>
            </w:pPr>
          </w:p>
          <w:p w14:paraId="21DF9F6E" w14:textId="2C7044EB" w:rsidR="00C15312" w:rsidRPr="00EB2AD9" w:rsidRDefault="00C15312" w:rsidP="00C15312">
            <w:pPr>
              <w:spacing w:after="0" w:line="240" w:lineRule="auto"/>
              <w:rPr>
                <w:rFonts w:ascii="Arial" w:eastAsia="Times New Roman" w:hAnsi="Arial" w:cs="Arial"/>
                <w:i/>
                <w:iCs/>
                <w:color w:val="000000"/>
                <w:sz w:val="22"/>
                <w:lang w:eastAsia="mn-MN"/>
              </w:rPr>
            </w:pPr>
          </w:p>
        </w:tc>
      </w:tr>
      <w:tr w:rsidR="00C15312" w:rsidRPr="00EB2AD9" w14:paraId="3F983049" w14:textId="77777777" w:rsidTr="00B5128A">
        <w:trPr>
          <w:trHeight w:val="656"/>
        </w:trPr>
        <w:tc>
          <w:tcPr>
            <w:tcW w:w="810"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D26D329" w14:textId="68E93CFE" w:rsidR="00C15312" w:rsidRPr="00EB2AD9" w:rsidRDefault="00C15312" w:rsidP="00B7754C">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lastRenderedPageBreak/>
              <w:t>3.2.</w:t>
            </w:r>
          </w:p>
        </w:tc>
        <w:tc>
          <w:tcPr>
            <w:tcW w:w="2160" w:type="dxa"/>
            <w:tcBorders>
              <w:top w:val="nil"/>
              <w:left w:val="nil"/>
              <w:bottom w:val="single" w:sz="4" w:space="0" w:color="auto"/>
              <w:right w:val="single" w:sz="4" w:space="0" w:color="auto"/>
            </w:tcBorders>
            <w:shd w:val="clear" w:color="auto" w:fill="D9E2F3" w:themeFill="accent1" w:themeFillTint="33"/>
            <w:vAlign w:val="center"/>
            <w:hideMark/>
          </w:tcPr>
          <w:p w14:paraId="757F9A44" w14:textId="2D71C067" w:rsidR="00C15312" w:rsidRPr="00EB2AD9" w:rsidRDefault="00FB4B03" w:rsidP="00C15312">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Liquidity ratios and financial resources</w:t>
            </w:r>
          </w:p>
        </w:tc>
        <w:tc>
          <w:tcPr>
            <w:tcW w:w="7740" w:type="dxa"/>
            <w:gridSpan w:val="2"/>
            <w:tcBorders>
              <w:top w:val="nil"/>
              <w:left w:val="nil"/>
              <w:bottom w:val="single" w:sz="4" w:space="0" w:color="auto"/>
              <w:right w:val="single" w:sz="4" w:space="0" w:color="auto"/>
            </w:tcBorders>
            <w:shd w:val="clear" w:color="auto" w:fill="auto"/>
            <w:noWrap/>
            <w:vAlign w:val="center"/>
            <w:hideMark/>
          </w:tcPr>
          <w:tbl>
            <w:tblPr>
              <w:tblStyle w:val="TableGridLight"/>
              <w:tblW w:w="5000" w:type="pct"/>
              <w:tblLayout w:type="fixed"/>
              <w:tblLook w:val="04A0" w:firstRow="1" w:lastRow="0" w:firstColumn="1" w:lastColumn="0" w:noHBand="0" w:noVBand="1"/>
            </w:tblPr>
            <w:tblGrid>
              <w:gridCol w:w="1950"/>
              <w:gridCol w:w="810"/>
              <w:gridCol w:w="720"/>
              <w:gridCol w:w="810"/>
              <w:gridCol w:w="720"/>
              <w:gridCol w:w="810"/>
              <w:gridCol w:w="792"/>
              <w:gridCol w:w="902"/>
            </w:tblGrid>
            <w:tr w:rsidR="00A676AD" w:rsidRPr="00EB2AD9" w14:paraId="19C65351" w14:textId="77777777" w:rsidTr="00B15B32">
              <w:trPr>
                <w:trHeight w:val="435"/>
              </w:trPr>
              <w:tc>
                <w:tcPr>
                  <w:tcW w:w="1298" w:type="pct"/>
                  <w:noWrap/>
                  <w:vAlign w:val="center"/>
                  <w:hideMark/>
                </w:tcPr>
                <w:p w14:paraId="5CDB4258" w14:textId="7400DDFD" w:rsidR="00567CF7" w:rsidRPr="00EB2AD9" w:rsidRDefault="00FB4B03" w:rsidP="00A676AD">
                  <w:pPr>
                    <w:jc w:val="center"/>
                    <w:rPr>
                      <w:rFonts w:ascii="Arial" w:eastAsia="Times New Roman" w:hAnsi="Arial" w:cs="Arial"/>
                      <w:b/>
                      <w:bCs/>
                      <w:color w:val="000000" w:themeColor="text1"/>
                      <w:sz w:val="22"/>
                    </w:rPr>
                  </w:pPr>
                  <w:r w:rsidRPr="00EB2AD9">
                    <w:rPr>
                      <w:rFonts w:ascii="Arial" w:eastAsia="Times New Roman" w:hAnsi="Arial" w:cs="Arial"/>
                      <w:b/>
                      <w:bCs/>
                      <w:sz w:val="22"/>
                      <w:lang w:val="en-US"/>
                    </w:rPr>
                    <w:t>Items</w:t>
                  </w:r>
                </w:p>
              </w:tc>
              <w:tc>
                <w:tcPr>
                  <w:tcW w:w="539" w:type="pct"/>
                  <w:noWrap/>
                  <w:vAlign w:val="center"/>
                  <w:hideMark/>
                </w:tcPr>
                <w:p w14:paraId="628D1471" w14:textId="77777777" w:rsidR="00567CF7" w:rsidRPr="00EB2AD9" w:rsidRDefault="00567CF7" w:rsidP="00A676AD">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2019</w:t>
                  </w:r>
                </w:p>
              </w:tc>
              <w:tc>
                <w:tcPr>
                  <w:tcW w:w="479" w:type="pct"/>
                  <w:noWrap/>
                  <w:vAlign w:val="center"/>
                  <w:hideMark/>
                </w:tcPr>
                <w:p w14:paraId="59561129" w14:textId="77777777" w:rsidR="00567CF7" w:rsidRPr="00EB2AD9" w:rsidRDefault="00567CF7" w:rsidP="00A676AD">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2020</w:t>
                  </w:r>
                </w:p>
              </w:tc>
              <w:tc>
                <w:tcPr>
                  <w:tcW w:w="539" w:type="pct"/>
                  <w:noWrap/>
                  <w:vAlign w:val="center"/>
                  <w:hideMark/>
                </w:tcPr>
                <w:p w14:paraId="55DD3121" w14:textId="77777777" w:rsidR="00567CF7" w:rsidRPr="00EB2AD9" w:rsidRDefault="00567CF7" w:rsidP="00A676AD">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2021</w:t>
                  </w:r>
                </w:p>
              </w:tc>
              <w:tc>
                <w:tcPr>
                  <w:tcW w:w="479" w:type="pct"/>
                  <w:noWrap/>
                  <w:vAlign w:val="center"/>
                  <w:hideMark/>
                </w:tcPr>
                <w:p w14:paraId="21B293A9" w14:textId="77777777" w:rsidR="00567CF7" w:rsidRPr="00EB2AD9" w:rsidRDefault="00567CF7" w:rsidP="00A676AD">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2022</w:t>
                  </w:r>
                </w:p>
              </w:tc>
              <w:tc>
                <w:tcPr>
                  <w:tcW w:w="539" w:type="pct"/>
                  <w:noWrap/>
                  <w:vAlign w:val="center"/>
                  <w:hideMark/>
                </w:tcPr>
                <w:p w14:paraId="5AD7779C" w14:textId="77777777" w:rsidR="00567CF7" w:rsidRPr="00EB2AD9" w:rsidRDefault="00567CF7" w:rsidP="00A676AD">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2023-II</w:t>
                  </w:r>
                </w:p>
              </w:tc>
              <w:tc>
                <w:tcPr>
                  <w:tcW w:w="527" w:type="pct"/>
                  <w:noWrap/>
                  <w:vAlign w:val="center"/>
                  <w:hideMark/>
                </w:tcPr>
                <w:p w14:paraId="171484E0" w14:textId="77777777" w:rsidR="00567CF7" w:rsidRPr="00EB2AD9" w:rsidRDefault="00567CF7" w:rsidP="00A676AD">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2023</w:t>
                  </w:r>
                </w:p>
              </w:tc>
              <w:tc>
                <w:tcPr>
                  <w:tcW w:w="600" w:type="pct"/>
                  <w:noWrap/>
                  <w:vAlign w:val="center"/>
                  <w:hideMark/>
                </w:tcPr>
                <w:p w14:paraId="093A39C1" w14:textId="77777777" w:rsidR="00567CF7" w:rsidRPr="00EB2AD9" w:rsidRDefault="00567CF7" w:rsidP="00A676AD">
                  <w:pPr>
                    <w:jc w:val="center"/>
                    <w:rPr>
                      <w:rFonts w:ascii="Arial" w:eastAsia="Times New Roman" w:hAnsi="Arial" w:cs="Arial"/>
                      <w:b/>
                      <w:bCs/>
                      <w:color w:val="000000" w:themeColor="text1"/>
                      <w:sz w:val="22"/>
                    </w:rPr>
                  </w:pPr>
                  <w:r w:rsidRPr="00EB2AD9">
                    <w:rPr>
                      <w:rFonts w:ascii="Arial" w:eastAsia="Times New Roman" w:hAnsi="Arial" w:cs="Arial"/>
                      <w:b/>
                      <w:bCs/>
                      <w:color w:val="000000" w:themeColor="text1"/>
                      <w:sz w:val="22"/>
                    </w:rPr>
                    <w:t>2024-II</w:t>
                  </w:r>
                </w:p>
              </w:tc>
            </w:tr>
            <w:tr w:rsidR="00A676AD" w:rsidRPr="00EB2AD9" w14:paraId="57569632" w14:textId="77777777" w:rsidTr="00B15B32">
              <w:trPr>
                <w:trHeight w:val="255"/>
              </w:trPr>
              <w:tc>
                <w:tcPr>
                  <w:tcW w:w="1298" w:type="pct"/>
                  <w:noWrap/>
                  <w:vAlign w:val="center"/>
                  <w:hideMark/>
                </w:tcPr>
                <w:p w14:paraId="687718B9" w14:textId="63AF8395" w:rsidR="00567CF7" w:rsidRPr="00EB2AD9" w:rsidRDefault="00FB4B03" w:rsidP="00A676AD">
                  <w:pPr>
                    <w:rPr>
                      <w:rFonts w:ascii="Arial" w:eastAsia="Times New Roman" w:hAnsi="Arial" w:cs="Arial"/>
                      <w:color w:val="000000" w:themeColor="text1"/>
                      <w:sz w:val="22"/>
                    </w:rPr>
                  </w:pPr>
                  <w:r w:rsidRPr="00EB2AD9">
                    <w:rPr>
                      <w:rFonts w:ascii="Arial" w:eastAsia="Times New Roman" w:hAnsi="Arial" w:cs="Arial"/>
                      <w:i/>
                      <w:iCs/>
                      <w:color w:val="000000"/>
                      <w:sz w:val="22"/>
                      <w:lang w:val="en-US" w:eastAsia="mn-MN"/>
                    </w:rPr>
                    <w:t xml:space="preserve">Current ratio      </w:t>
                  </w:r>
                </w:p>
              </w:tc>
              <w:tc>
                <w:tcPr>
                  <w:tcW w:w="539" w:type="pct"/>
                  <w:noWrap/>
                  <w:vAlign w:val="center"/>
                  <w:hideMark/>
                </w:tcPr>
                <w:p w14:paraId="3BFC6A4B" w14:textId="30A579B7"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0.67</w:t>
                  </w:r>
                </w:p>
              </w:tc>
              <w:tc>
                <w:tcPr>
                  <w:tcW w:w="479" w:type="pct"/>
                  <w:noWrap/>
                  <w:vAlign w:val="center"/>
                  <w:hideMark/>
                </w:tcPr>
                <w:p w14:paraId="5D86871A" w14:textId="11E77DF0"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0.31</w:t>
                  </w:r>
                </w:p>
              </w:tc>
              <w:tc>
                <w:tcPr>
                  <w:tcW w:w="539" w:type="pct"/>
                  <w:noWrap/>
                  <w:vAlign w:val="center"/>
                  <w:hideMark/>
                </w:tcPr>
                <w:p w14:paraId="0CF9D1B5" w14:textId="6C9EC380"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3.05</w:t>
                  </w:r>
                </w:p>
              </w:tc>
              <w:tc>
                <w:tcPr>
                  <w:tcW w:w="479" w:type="pct"/>
                  <w:noWrap/>
                  <w:vAlign w:val="center"/>
                  <w:hideMark/>
                </w:tcPr>
                <w:p w14:paraId="66EEB763" w14:textId="3387D2F9"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2.30</w:t>
                  </w:r>
                </w:p>
              </w:tc>
              <w:tc>
                <w:tcPr>
                  <w:tcW w:w="539" w:type="pct"/>
                  <w:noWrap/>
                  <w:vAlign w:val="center"/>
                  <w:hideMark/>
                </w:tcPr>
                <w:p w14:paraId="6EFE385D" w14:textId="569A8C08"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1.26</w:t>
                  </w:r>
                </w:p>
              </w:tc>
              <w:tc>
                <w:tcPr>
                  <w:tcW w:w="527" w:type="pct"/>
                  <w:noWrap/>
                  <w:vAlign w:val="center"/>
                  <w:hideMark/>
                </w:tcPr>
                <w:p w14:paraId="29C53B1A" w14:textId="1501538F"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1.03</w:t>
                  </w:r>
                </w:p>
              </w:tc>
              <w:tc>
                <w:tcPr>
                  <w:tcW w:w="600" w:type="pct"/>
                  <w:noWrap/>
                  <w:vAlign w:val="center"/>
                  <w:hideMark/>
                </w:tcPr>
                <w:p w14:paraId="0E791CE8" w14:textId="6BC8F122"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1.04</w:t>
                  </w:r>
                </w:p>
              </w:tc>
            </w:tr>
            <w:tr w:rsidR="00A676AD" w:rsidRPr="00EB2AD9" w14:paraId="04579718" w14:textId="77777777" w:rsidTr="00B15B32">
              <w:trPr>
                <w:trHeight w:val="255"/>
              </w:trPr>
              <w:tc>
                <w:tcPr>
                  <w:tcW w:w="1298" w:type="pct"/>
                  <w:noWrap/>
                  <w:vAlign w:val="center"/>
                  <w:hideMark/>
                </w:tcPr>
                <w:p w14:paraId="2FCCD28F" w14:textId="0EAB0048" w:rsidR="00567CF7" w:rsidRPr="00EB2AD9" w:rsidRDefault="00FB4B03" w:rsidP="00A676AD">
                  <w:pPr>
                    <w:rPr>
                      <w:rFonts w:ascii="Arial" w:eastAsia="Times New Roman" w:hAnsi="Arial" w:cs="Arial"/>
                      <w:color w:val="000000" w:themeColor="text1"/>
                      <w:sz w:val="22"/>
                    </w:rPr>
                  </w:pPr>
                  <w:r w:rsidRPr="00EB2AD9">
                    <w:rPr>
                      <w:rFonts w:ascii="Arial" w:eastAsia="Times New Roman" w:hAnsi="Arial" w:cs="Arial"/>
                      <w:i/>
                      <w:iCs/>
                      <w:color w:val="000000"/>
                      <w:sz w:val="22"/>
                      <w:lang w:val="en-US" w:eastAsia="mn-MN"/>
                    </w:rPr>
                    <w:t>Quick ratio</w:t>
                  </w:r>
                  <w:r w:rsidRPr="00EB2AD9">
                    <w:rPr>
                      <w:rFonts w:ascii="Arial" w:eastAsia="Times New Roman" w:hAnsi="Arial" w:cs="Arial"/>
                      <w:i/>
                      <w:iCs/>
                      <w:color w:val="000000"/>
                      <w:sz w:val="22"/>
                      <w:lang w:eastAsia="mn-MN"/>
                    </w:rPr>
                    <w:t xml:space="preserve"> </w:t>
                  </w:r>
                  <w:r w:rsidRPr="00EB2AD9">
                    <w:rPr>
                      <w:rFonts w:ascii="Arial" w:eastAsia="Times New Roman" w:hAnsi="Arial" w:cs="Arial"/>
                      <w:i/>
                      <w:iCs/>
                      <w:color w:val="000000"/>
                      <w:sz w:val="22"/>
                      <w:lang w:val="en-US" w:eastAsia="mn-MN"/>
                    </w:rPr>
                    <w:t xml:space="preserve">                                   </w:t>
                  </w:r>
                  <w:r w:rsidRPr="00EB2AD9">
                    <w:rPr>
                      <w:rFonts w:ascii="Arial" w:eastAsia="Times New Roman" w:hAnsi="Arial" w:cs="Arial"/>
                      <w:i/>
                      <w:iCs/>
                      <w:color w:val="000000"/>
                      <w:sz w:val="22"/>
                      <w:lang w:eastAsia="mn-MN"/>
                    </w:rPr>
                    <w:t xml:space="preserve">            </w:t>
                  </w:r>
                </w:p>
              </w:tc>
              <w:tc>
                <w:tcPr>
                  <w:tcW w:w="539" w:type="pct"/>
                  <w:noWrap/>
                  <w:vAlign w:val="center"/>
                  <w:hideMark/>
                </w:tcPr>
                <w:p w14:paraId="5FB67BFC" w14:textId="68AF5913"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0.65</w:t>
                  </w:r>
                </w:p>
              </w:tc>
              <w:tc>
                <w:tcPr>
                  <w:tcW w:w="479" w:type="pct"/>
                  <w:noWrap/>
                  <w:vAlign w:val="center"/>
                  <w:hideMark/>
                </w:tcPr>
                <w:p w14:paraId="76BF49AF" w14:textId="540F1A26"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0.30</w:t>
                  </w:r>
                </w:p>
              </w:tc>
              <w:tc>
                <w:tcPr>
                  <w:tcW w:w="539" w:type="pct"/>
                  <w:noWrap/>
                  <w:vAlign w:val="center"/>
                  <w:hideMark/>
                </w:tcPr>
                <w:p w14:paraId="237AC84B" w14:textId="3E2F8D80"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3.03</w:t>
                  </w:r>
                </w:p>
              </w:tc>
              <w:tc>
                <w:tcPr>
                  <w:tcW w:w="479" w:type="pct"/>
                  <w:noWrap/>
                  <w:vAlign w:val="center"/>
                  <w:hideMark/>
                </w:tcPr>
                <w:p w14:paraId="3862B9B1" w14:textId="58D152F9"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2.27</w:t>
                  </w:r>
                </w:p>
              </w:tc>
              <w:tc>
                <w:tcPr>
                  <w:tcW w:w="539" w:type="pct"/>
                  <w:noWrap/>
                  <w:vAlign w:val="center"/>
                  <w:hideMark/>
                </w:tcPr>
                <w:p w14:paraId="3E7A89FA" w14:textId="65CC529C"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1.26</w:t>
                  </w:r>
                </w:p>
              </w:tc>
              <w:tc>
                <w:tcPr>
                  <w:tcW w:w="527" w:type="pct"/>
                  <w:noWrap/>
                  <w:vAlign w:val="center"/>
                  <w:hideMark/>
                </w:tcPr>
                <w:p w14:paraId="7E0C0B04" w14:textId="50DDED95"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1.03</w:t>
                  </w:r>
                </w:p>
              </w:tc>
              <w:tc>
                <w:tcPr>
                  <w:tcW w:w="600" w:type="pct"/>
                  <w:noWrap/>
                  <w:vAlign w:val="center"/>
                  <w:hideMark/>
                </w:tcPr>
                <w:p w14:paraId="2F0F986F" w14:textId="59526497"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1.04</w:t>
                  </w:r>
                </w:p>
              </w:tc>
            </w:tr>
            <w:tr w:rsidR="00A676AD" w:rsidRPr="00EB2AD9" w14:paraId="44AEF521" w14:textId="77777777" w:rsidTr="00B15B32">
              <w:trPr>
                <w:trHeight w:val="330"/>
              </w:trPr>
              <w:tc>
                <w:tcPr>
                  <w:tcW w:w="1298" w:type="pct"/>
                  <w:noWrap/>
                  <w:vAlign w:val="center"/>
                  <w:hideMark/>
                </w:tcPr>
                <w:p w14:paraId="2F4C331C" w14:textId="1ED27EFE" w:rsidR="00567CF7" w:rsidRPr="00EB2AD9" w:rsidRDefault="00FB4B03" w:rsidP="00A676AD">
                  <w:pPr>
                    <w:rPr>
                      <w:rFonts w:ascii="Arial" w:eastAsia="Times New Roman" w:hAnsi="Arial" w:cs="Arial"/>
                      <w:color w:val="000000" w:themeColor="text1"/>
                      <w:sz w:val="22"/>
                    </w:rPr>
                  </w:pPr>
                  <w:r w:rsidRPr="00EB2AD9">
                    <w:rPr>
                      <w:rFonts w:ascii="Arial" w:eastAsia="Times New Roman" w:hAnsi="Arial" w:cs="Arial"/>
                      <w:i/>
                      <w:iCs/>
                      <w:color w:val="000000"/>
                      <w:sz w:val="22"/>
                      <w:lang w:val="en-US" w:eastAsia="mn-MN"/>
                    </w:rPr>
                    <w:t>Liabilities and equity ratio</w:t>
                  </w:r>
                  <w:r w:rsidRPr="00EB2AD9">
                    <w:rPr>
                      <w:rFonts w:ascii="Arial" w:eastAsia="Times New Roman" w:hAnsi="Arial" w:cs="Arial"/>
                      <w:i/>
                      <w:iCs/>
                      <w:color w:val="000000"/>
                      <w:sz w:val="22"/>
                      <w:lang w:eastAsia="mn-MN"/>
                    </w:rPr>
                    <w:t xml:space="preserve">    </w:t>
                  </w:r>
                  <w:r w:rsidRPr="00EB2AD9">
                    <w:rPr>
                      <w:rFonts w:ascii="Arial" w:eastAsia="Times New Roman" w:hAnsi="Arial" w:cs="Arial"/>
                      <w:i/>
                      <w:iCs/>
                      <w:color w:val="000000"/>
                      <w:sz w:val="22"/>
                      <w:lang w:val="en-US" w:eastAsia="mn-MN"/>
                    </w:rPr>
                    <w:t xml:space="preserve">                  </w:t>
                  </w:r>
                  <w:r w:rsidRPr="00EB2AD9">
                    <w:rPr>
                      <w:rFonts w:ascii="Arial" w:eastAsia="Times New Roman" w:hAnsi="Arial" w:cs="Arial"/>
                      <w:i/>
                      <w:iCs/>
                      <w:color w:val="000000"/>
                      <w:sz w:val="22"/>
                      <w:lang w:eastAsia="mn-MN"/>
                    </w:rPr>
                    <w:t xml:space="preserve"> </w:t>
                  </w:r>
                </w:p>
              </w:tc>
              <w:tc>
                <w:tcPr>
                  <w:tcW w:w="539" w:type="pct"/>
                  <w:noWrap/>
                  <w:vAlign w:val="center"/>
                  <w:hideMark/>
                </w:tcPr>
                <w:p w14:paraId="19518647" w14:textId="50AAA64C"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0.73</w:t>
                  </w:r>
                </w:p>
              </w:tc>
              <w:tc>
                <w:tcPr>
                  <w:tcW w:w="479" w:type="pct"/>
                  <w:noWrap/>
                  <w:vAlign w:val="center"/>
                  <w:hideMark/>
                </w:tcPr>
                <w:p w14:paraId="679901BF" w14:textId="370EDD43"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1.75</w:t>
                  </w:r>
                </w:p>
              </w:tc>
              <w:tc>
                <w:tcPr>
                  <w:tcW w:w="539" w:type="pct"/>
                  <w:noWrap/>
                  <w:vAlign w:val="center"/>
                  <w:hideMark/>
                </w:tcPr>
                <w:p w14:paraId="73E4DFD0" w14:textId="6ECC127C"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0.21</w:t>
                  </w:r>
                </w:p>
              </w:tc>
              <w:tc>
                <w:tcPr>
                  <w:tcW w:w="479" w:type="pct"/>
                  <w:noWrap/>
                  <w:vAlign w:val="center"/>
                  <w:hideMark/>
                </w:tcPr>
                <w:p w14:paraId="2E6B3031" w14:textId="38B388B5"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0.08</w:t>
                  </w:r>
                </w:p>
              </w:tc>
              <w:tc>
                <w:tcPr>
                  <w:tcW w:w="539" w:type="pct"/>
                  <w:noWrap/>
                  <w:vAlign w:val="center"/>
                  <w:hideMark/>
                </w:tcPr>
                <w:p w14:paraId="61248491" w14:textId="7016B4B9"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1.61</w:t>
                  </w:r>
                </w:p>
              </w:tc>
              <w:tc>
                <w:tcPr>
                  <w:tcW w:w="527" w:type="pct"/>
                  <w:noWrap/>
                  <w:vAlign w:val="center"/>
                  <w:hideMark/>
                </w:tcPr>
                <w:p w14:paraId="50FE946D" w14:textId="1534B58C"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20.04</w:t>
                  </w:r>
                </w:p>
              </w:tc>
              <w:tc>
                <w:tcPr>
                  <w:tcW w:w="600" w:type="pct"/>
                  <w:noWrap/>
                  <w:vAlign w:val="center"/>
                  <w:hideMark/>
                </w:tcPr>
                <w:p w14:paraId="51910D10" w14:textId="12271CAA" w:rsidR="00567CF7" w:rsidRPr="00EB2AD9" w:rsidRDefault="00567CF7" w:rsidP="00A676AD">
                  <w:pPr>
                    <w:jc w:val="center"/>
                    <w:rPr>
                      <w:rFonts w:ascii="Arial" w:eastAsia="Times New Roman" w:hAnsi="Arial" w:cs="Arial"/>
                      <w:color w:val="000000" w:themeColor="text1"/>
                      <w:sz w:val="22"/>
                    </w:rPr>
                  </w:pPr>
                  <w:r w:rsidRPr="00EB2AD9">
                    <w:rPr>
                      <w:rFonts w:ascii="Arial" w:eastAsia="Times New Roman" w:hAnsi="Arial" w:cs="Arial"/>
                      <w:color w:val="000000" w:themeColor="text1"/>
                      <w:sz w:val="22"/>
                    </w:rPr>
                    <w:t>17.82</w:t>
                  </w:r>
                </w:p>
              </w:tc>
            </w:tr>
          </w:tbl>
          <w:p w14:paraId="06FED66C" w14:textId="1EFB2B78" w:rsidR="00567CF7" w:rsidRDefault="00B5128A" w:rsidP="00567CF7">
            <w:pPr>
              <w:spacing w:line="360" w:lineRule="auto"/>
              <w:rPr>
                <w:rFonts w:ascii="Arial" w:hAnsi="Arial" w:cs="Arial"/>
                <w:sz w:val="22"/>
              </w:rPr>
            </w:pPr>
            <w:r>
              <w:rPr>
                <w:noProof/>
              </w:rPr>
              <w:drawing>
                <wp:inline distT="0" distB="0" distL="0" distR="0" wp14:anchorId="24BF5FFB" wp14:editId="4E6C3258">
                  <wp:extent cx="4638675" cy="2743200"/>
                  <wp:effectExtent l="0" t="0" r="9525" b="0"/>
                  <wp:docPr id="429190623" name="Chart 1">
                    <a:extLst xmlns:a="http://schemas.openxmlformats.org/drawingml/2006/main">
                      <a:ext uri="{FF2B5EF4-FFF2-40B4-BE49-F238E27FC236}">
                        <a16:creationId xmlns:a16="http://schemas.microsoft.com/office/drawing/2014/main" id="{FFDFE271-C2E4-DA07-961E-4D7771EF9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1B15F2" w14:textId="6C92D8CE" w:rsidR="00013D12" w:rsidRPr="00EB2AD9" w:rsidRDefault="00013D12" w:rsidP="00567CF7">
            <w:pPr>
              <w:spacing w:line="360" w:lineRule="auto"/>
              <w:rPr>
                <w:rFonts w:ascii="Arial" w:hAnsi="Arial" w:cs="Arial"/>
                <w:sz w:val="22"/>
              </w:rPr>
            </w:pPr>
          </w:p>
          <w:p w14:paraId="3B4E22C2" w14:textId="507C624B" w:rsidR="00C15312" w:rsidRPr="00EB2AD9" w:rsidRDefault="00C15312" w:rsidP="00D25F85">
            <w:pPr>
              <w:spacing w:after="0" w:line="240" w:lineRule="auto"/>
              <w:jc w:val="center"/>
              <w:rPr>
                <w:rFonts w:ascii="Arial" w:eastAsia="Times New Roman" w:hAnsi="Arial" w:cs="Arial"/>
                <w:i/>
                <w:iCs/>
                <w:color w:val="000000"/>
                <w:sz w:val="22"/>
                <w:lang w:eastAsia="mn-MN"/>
              </w:rPr>
            </w:pPr>
          </w:p>
        </w:tc>
      </w:tr>
      <w:tr w:rsidR="00C15312" w:rsidRPr="00EB2AD9" w14:paraId="688A2B83" w14:textId="77777777" w:rsidTr="0067437A">
        <w:trPr>
          <w:trHeight w:val="163"/>
        </w:trPr>
        <w:tc>
          <w:tcPr>
            <w:tcW w:w="81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6097257F" w14:textId="63E877F7" w:rsidR="00C15312" w:rsidRPr="00EB2AD9" w:rsidRDefault="00C15312" w:rsidP="0067437A">
            <w:pPr>
              <w:spacing w:after="0" w:line="240" w:lineRule="auto"/>
              <w:rPr>
                <w:rFonts w:ascii="Arial" w:eastAsia="Times New Roman" w:hAnsi="Arial" w:cs="Arial"/>
                <w:i/>
                <w:iCs/>
                <w:color w:val="000000"/>
                <w:sz w:val="22"/>
                <w:lang w:eastAsia="mn-MN"/>
              </w:rPr>
            </w:pPr>
            <w:bookmarkStart w:id="2" w:name="_Hlk175925429"/>
            <w:r w:rsidRPr="00EB2AD9">
              <w:rPr>
                <w:rFonts w:ascii="Arial" w:eastAsia="Times New Roman" w:hAnsi="Arial" w:cs="Arial"/>
                <w:i/>
                <w:iCs/>
                <w:color w:val="000000"/>
                <w:sz w:val="22"/>
                <w:lang w:eastAsia="mn-MN"/>
              </w:rPr>
              <w:t>3.3.</w:t>
            </w:r>
          </w:p>
        </w:tc>
        <w:tc>
          <w:tcPr>
            <w:tcW w:w="2160" w:type="dxa"/>
            <w:tcBorders>
              <w:top w:val="nil"/>
              <w:left w:val="nil"/>
              <w:bottom w:val="single" w:sz="4" w:space="0" w:color="auto"/>
              <w:right w:val="single" w:sz="4" w:space="0" w:color="auto"/>
            </w:tcBorders>
            <w:shd w:val="clear" w:color="auto" w:fill="D9E2F3" w:themeFill="accent1" w:themeFillTint="33"/>
            <w:vAlign w:val="center"/>
            <w:hideMark/>
          </w:tcPr>
          <w:p w14:paraId="218661D0" w14:textId="56B9020E" w:rsidR="00C15312" w:rsidRPr="00EB2AD9" w:rsidRDefault="00FB4B03" w:rsidP="00C71906">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 xml:space="preserve">The external and internal factors affecting the operations of the issuer, its market share in the operating industry, changes or developments in the range of </w:t>
            </w:r>
            <w:r w:rsidRPr="00EB2AD9">
              <w:rPr>
                <w:rFonts w:ascii="Arial" w:eastAsia="Times New Roman" w:hAnsi="Arial" w:cs="Arial"/>
                <w:i/>
                <w:iCs/>
                <w:color w:val="000000"/>
                <w:sz w:val="22"/>
                <w:lang w:eastAsia="mn-MN"/>
              </w:rPr>
              <w:lastRenderedPageBreak/>
              <w:t>products and services, and measures planned to be taken by the issuer in response to changes and development.</w:t>
            </w:r>
          </w:p>
        </w:tc>
        <w:tc>
          <w:tcPr>
            <w:tcW w:w="7740" w:type="dxa"/>
            <w:gridSpan w:val="2"/>
            <w:tcBorders>
              <w:top w:val="nil"/>
              <w:left w:val="nil"/>
              <w:bottom w:val="single" w:sz="4" w:space="0" w:color="auto"/>
              <w:right w:val="single" w:sz="4" w:space="0" w:color="auto"/>
            </w:tcBorders>
            <w:shd w:val="clear" w:color="auto" w:fill="auto"/>
            <w:vAlign w:val="center"/>
            <w:hideMark/>
          </w:tcPr>
          <w:p w14:paraId="193A7631" w14:textId="77777777" w:rsidR="00827552" w:rsidRPr="00EB2AD9" w:rsidRDefault="00827552" w:rsidP="00D2219E">
            <w:pPr>
              <w:spacing w:after="0" w:line="240" w:lineRule="auto"/>
              <w:ind w:left="359"/>
              <w:jc w:val="both"/>
              <w:rPr>
                <w:rFonts w:ascii="Arial" w:eastAsia="Times New Roman" w:hAnsi="Arial" w:cs="Arial"/>
                <w:i/>
                <w:iCs/>
                <w:noProof/>
                <w:color w:val="000000" w:themeColor="text1"/>
                <w:sz w:val="22"/>
              </w:rPr>
            </w:pPr>
          </w:p>
          <w:p w14:paraId="32484957" w14:textId="77777777" w:rsidR="001656F5" w:rsidRPr="00EB2AD9" w:rsidRDefault="001656F5" w:rsidP="001656F5">
            <w:pPr>
              <w:spacing w:after="0" w:line="240" w:lineRule="auto"/>
              <w:jc w:val="both"/>
              <w:rPr>
                <w:rFonts w:ascii="Arial" w:eastAsia="Times New Roman" w:hAnsi="Arial" w:cs="Arial"/>
                <w:i/>
                <w:iCs/>
                <w:noProof/>
                <w:color w:val="000000" w:themeColor="text1"/>
                <w:sz w:val="22"/>
              </w:rPr>
            </w:pPr>
            <w:bookmarkStart w:id="3" w:name="_Hlk175923274"/>
            <w:r w:rsidRPr="00EB2AD9">
              <w:rPr>
                <w:rFonts w:ascii="Arial" w:eastAsia="Times New Roman" w:hAnsi="Arial" w:cs="Arial"/>
                <w:i/>
                <w:iCs/>
                <w:noProof/>
                <w:color w:val="000000" w:themeColor="text1"/>
                <w:sz w:val="22"/>
              </w:rPr>
              <w:t>• Securities trading:</w:t>
            </w:r>
          </w:p>
          <w:p w14:paraId="6DB12380" w14:textId="77777777" w:rsidR="001656F5" w:rsidRPr="00EB2AD9" w:rsidRDefault="001656F5" w:rsidP="001656F5">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 xml:space="preserve">In the first half of 2024, the TOP-20 index, which is the main indicator of the trend of the domestic </w:t>
            </w:r>
            <w:r w:rsidRPr="00EB2AD9">
              <w:rPr>
                <w:rFonts w:ascii="Arial" w:eastAsia="Times New Roman" w:hAnsi="Arial" w:cs="Arial"/>
                <w:i/>
                <w:iCs/>
                <w:noProof/>
                <w:color w:val="000000" w:themeColor="text1"/>
                <w:sz w:val="22"/>
                <w:lang w:val="en-US"/>
              </w:rPr>
              <w:t>capital</w:t>
            </w:r>
            <w:r w:rsidRPr="00EB2AD9">
              <w:rPr>
                <w:rFonts w:ascii="Arial" w:eastAsia="Times New Roman" w:hAnsi="Arial" w:cs="Arial"/>
                <w:i/>
                <w:iCs/>
                <w:noProof/>
                <w:color w:val="000000" w:themeColor="text1"/>
                <w:sz w:val="22"/>
              </w:rPr>
              <w:t xml:space="preserve"> market, rose to 45,024.07 units, while the minimum value was 40,704.45 units and the average value was 42,940.88 units. </w:t>
            </w:r>
            <w:r w:rsidRPr="00EB2AD9">
              <w:rPr>
                <w:rFonts w:ascii="Arial" w:eastAsia="Times New Roman" w:hAnsi="Arial" w:cs="Arial"/>
                <w:i/>
                <w:iCs/>
                <w:noProof/>
                <w:color w:val="000000" w:themeColor="text1"/>
                <w:sz w:val="22"/>
                <w:lang w:val="en-US"/>
              </w:rPr>
              <w:t>A</w:t>
            </w:r>
            <w:r w:rsidRPr="00EB2AD9">
              <w:rPr>
                <w:rFonts w:ascii="Arial" w:eastAsia="Times New Roman" w:hAnsi="Arial" w:cs="Arial"/>
                <w:i/>
                <w:iCs/>
                <w:noProof/>
                <w:color w:val="000000" w:themeColor="text1"/>
                <w:sz w:val="22"/>
              </w:rPr>
              <w:t>s of June 28 of this year, compared to the same period of the previous year, it increased by 7,486.02 units or 20.29 percent and reached 44,385.18 units.</w:t>
            </w:r>
          </w:p>
          <w:p w14:paraId="3FABE1F5" w14:textId="77777777" w:rsidR="001656F5" w:rsidRPr="00EB2AD9" w:rsidRDefault="001656F5" w:rsidP="001656F5">
            <w:pPr>
              <w:spacing w:after="0" w:line="240" w:lineRule="auto"/>
              <w:jc w:val="both"/>
              <w:rPr>
                <w:rFonts w:ascii="Arial" w:eastAsia="Times New Roman" w:hAnsi="Arial" w:cs="Arial"/>
                <w:i/>
                <w:iCs/>
                <w:noProof/>
                <w:color w:val="000000" w:themeColor="text1"/>
                <w:sz w:val="22"/>
              </w:rPr>
            </w:pPr>
          </w:p>
          <w:p w14:paraId="17EFFC8B" w14:textId="77777777" w:rsidR="001656F5" w:rsidRPr="00EB2AD9" w:rsidRDefault="001656F5" w:rsidP="001656F5">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lastRenderedPageBreak/>
              <w:t>As of June 28, 2024, the market capitalization reached 11.28 trillion MNT, an increase of 288.11 billion MNT or 2.62 percent from the same period last year.</w:t>
            </w:r>
          </w:p>
          <w:p w14:paraId="6DDA9893" w14:textId="3474E02F" w:rsidR="00C15312" w:rsidRPr="00EB2AD9" w:rsidRDefault="00C15312" w:rsidP="00D2219E">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 xml:space="preserve"> </w:t>
            </w:r>
          </w:p>
          <w:p w14:paraId="210E3C43" w14:textId="77777777" w:rsidR="001656F5" w:rsidRPr="00EB2AD9" w:rsidRDefault="001656F5" w:rsidP="001656F5">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In the first half of 2024, a total of 125 trading were conducted, with a total value of 797.08 billion MNT. Specifically:</w:t>
            </w:r>
          </w:p>
          <w:p w14:paraId="3A2AA970" w14:textId="77777777" w:rsidR="001656F5" w:rsidRPr="00EB2AD9" w:rsidRDefault="001656F5" w:rsidP="001656F5">
            <w:pPr>
              <w:spacing w:after="0" w:line="240" w:lineRule="auto"/>
              <w:jc w:val="both"/>
              <w:rPr>
                <w:rFonts w:ascii="Arial" w:eastAsia="Times New Roman" w:hAnsi="Arial" w:cs="Arial"/>
                <w:i/>
                <w:iCs/>
                <w:noProof/>
                <w:color w:val="000000" w:themeColor="text1"/>
                <w:sz w:val="22"/>
              </w:rPr>
            </w:pPr>
          </w:p>
          <w:p w14:paraId="11B2F206" w14:textId="77777777" w:rsidR="001656F5" w:rsidRPr="00EB2AD9" w:rsidRDefault="001656F5" w:rsidP="001656F5">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w:t>
            </w:r>
            <w:r w:rsidRPr="00EB2AD9">
              <w:rPr>
                <w:rFonts w:ascii="Arial" w:eastAsia="Times New Roman" w:hAnsi="Arial" w:cs="Arial"/>
                <w:i/>
                <w:iCs/>
                <w:noProof/>
                <w:color w:val="000000" w:themeColor="text1"/>
                <w:sz w:val="22"/>
              </w:rPr>
              <w:tab/>
              <w:t>773.76 million shares of 136 joint-stock companies were traded in the secondary market for 184.7 billion MNT.</w:t>
            </w:r>
          </w:p>
          <w:p w14:paraId="18FB9CD6" w14:textId="77777777" w:rsidR="001656F5" w:rsidRPr="00EB2AD9" w:rsidRDefault="001656F5" w:rsidP="001656F5">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w:t>
            </w:r>
            <w:r w:rsidRPr="00EB2AD9">
              <w:rPr>
                <w:rFonts w:ascii="Arial" w:eastAsia="Times New Roman" w:hAnsi="Arial" w:cs="Arial"/>
                <w:i/>
                <w:iCs/>
                <w:noProof/>
                <w:color w:val="000000" w:themeColor="text1"/>
                <w:sz w:val="22"/>
              </w:rPr>
              <w:tab/>
              <w:t>490.76 thousand shares of asset-backed securities were traded in the primary and secondary markets for 44.43 billion MNT.</w:t>
            </w:r>
          </w:p>
          <w:p w14:paraId="07BC6A41" w14:textId="77777777" w:rsidR="001656F5" w:rsidRPr="00EB2AD9" w:rsidRDefault="001656F5" w:rsidP="001656F5">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w:t>
            </w:r>
            <w:r w:rsidRPr="00EB2AD9">
              <w:rPr>
                <w:rFonts w:ascii="Arial" w:eastAsia="Times New Roman" w:hAnsi="Arial" w:cs="Arial"/>
                <w:i/>
                <w:iCs/>
                <w:noProof/>
                <w:color w:val="000000" w:themeColor="text1"/>
                <w:sz w:val="22"/>
              </w:rPr>
              <w:tab/>
              <w:t>5.38 million units of investment funds were traded in the secondary market for 2.92 billion MNT.</w:t>
            </w:r>
          </w:p>
          <w:p w14:paraId="181F631B" w14:textId="09935204" w:rsidR="00433644" w:rsidRPr="00EB2AD9" w:rsidRDefault="001656F5" w:rsidP="001656F5">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w:t>
            </w:r>
            <w:r w:rsidRPr="00EB2AD9">
              <w:rPr>
                <w:rFonts w:ascii="Arial" w:eastAsia="Times New Roman" w:hAnsi="Arial" w:cs="Arial"/>
                <w:i/>
                <w:iCs/>
                <w:noProof/>
                <w:color w:val="000000" w:themeColor="text1"/>
                <w:sz w:val="22"/>
              </w:rPr>
              <w:tab/>
              <w:t>5.67 million bonds were traded in the primary and secondary markets for 565.03 billion MNT</w:t>
            </w:r>
          </w:p>
          <w:p w14:paraId="73BE0ED5" w14:textId="77777777" w:rsidR="001656F5" w:rsidRPr="00EB2AD9" w:rsidRDefault="001656F5" w:rsidP="001656F5">
            <w:pPr>
              <w:spacing w:after="0" w:line="240" w:lineRule="auto"/>
              <w:jc w:val="both"/>
              <w:rPr>
                <w:rFonts w:ascii="Arial" w:eastAsia="Times New Roman" w:hAnsi="Arial" w:cs="Arial"/>
                <w:i/>
                <w:iCs/>
                <w:noProof/>
                <w:color w:val="000000" w:themeColor="text1"/>
                <w:sz w:val="22"/>
              </w:rPr>
            </w:pPr>
          </w:p>
          <w:p w14:paraId="48DF97B3" w14:textId="77777777" w:rsidR="001656F5" w:rsidRPr="00EB2AD9" w:rsidRDefault="001656F5" w:rsidP="001656F5">
            <w:pPr>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During the reporting period, the daily average trading reached 6.28 million securities, with a total value of 6.37 billion MNT.</w:t>
            </w:r>
          </w:p>
          <w:p w14:paraId="4F30C0EF" w14:textId="77777777" w:rsidR="001656F5" w:rsidRPr="00EB2AD9" w:rsidRDefault="001656F5" w:rsidP="001656F5">
            <w:pPr>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Total trading has increased by 1.55 times from the same period last year.</w:t>
            </w:r>
          </w:p>
          <w:p w14:paraId="2BC1BB42" w14:textId="247C6E01" w:rsidR="00A631AB" w:rsidRPr="00EB2AD9" w:rsidRDefault="00A631AB" w:rsidP="00A631AB">
            <w:pPr>
              <w:numPr>
                <w:ilvl w:val="0"/>
                <w:numId w:val="10"/>
              </w:numPr>
              <w:tabs>
                <w:tab w:val="clear" w:pos="720"/>
                <w:tab w:val="num" w:pos="899"/>
              </w:tabs>
              <w:spacing w:after="0" w:line="240" w:lineRule="auto"/>
              <w:ind w:left="359"/>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Trading of mining products:</w:t>
            </w:r>
          </w:p>
          <w:p w14:paraId="5494F41A" w14:textId="77777777" w:rsidR="00A631AB" w:rsidRPr="00EB2AD9" w:rsidRDefault="00A631AB" w:rsidP="00A631AB">
            <w:pPr>
              <w:spacing w:after="0" w:line="240" w:lineRule="auto"/>
              <w:ind w:left="359"/>
              <w:jc w:val="both"/>
              <w:rPr>
                <w:rFonts w:ascii="Arial" w:eastAsia="Times New Roman" w:hAnsi="Arial" w:cs="Arial"/>
                <w:i/>
                <w:iCs/>
                <w:noProof/>
                <w:color w:val="000000" w:themeColor="text1"/>
                <w:sz w:val="22"/>
              </w:rPr>
            </w:pPr>
          </w:p>
          <w:p w14:paraId="344F3054" w14:textId="77777777" w:rsidR="00A631AB" w:rsidRPr="00EB2AD9" w:rsidRDefault="00A631AB" w:rsidP="00A631AB">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In the first half of 2024, a total of 339 e-auctions for mining products were conducted.</w:t>
            </w:r>
          </w:p>
          <w:p w14:paraId="5CFDC5FA" w14:textId="77777777" w:rsidR="00A631AB" w:rsidRPr="00EB2AD9" w:rsidRDefault="00A631AB" w:rsidP="00A631AB">
            <w:pPr>
              <w:spacing w:after="0" w:line="240" w:lineRule="auto"/>
              <w:jc w:val="both"/>
              <w:rPr>
                <w:rFonts w:ascii="Arial" w:eastAsia="Times New Roman" w:hAnsi="Arial" w:cs="Arial"/>
                <w:i/>
                <w:iCs/>
                <w:noProof/>
                <w:color w:val="000000" w:themeColor="text1"/>
                <w:sz w:val="22"/>
              </w:rPr>
            </w:pPr>
          </w:p>
          <w:p w14:paraId="0EA10242" w14:textId="77777777" w:rsidR="00A631AB" w:rsidRPr="00EB2AD9" w:rsidRDefault="00A631AB" w:rsidP="00A631AB">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"Erdenes Tavan Tolgoi" JSC</w:t>
            </w:r>
            <w:r w:rsidRPr="00EB2AD9">
              <w:rPr>
                <w:rFonts w:ascii="Arial" w:eastAsia="Times New Roman" w:hAnsi="Arial" w:cs="Arial"/>
                <w:i/>
                <w:iCs/>
                <w:noProof/>
                <w:color w:val="000000" w:themeColor="text1"/>
                <w:sz w:val="22"/>
                <w:lang w:val="en-US"/>
              </w:rPr>
              <w:t>, “Tavantolgoi” JSC “Energy Resources” LLC "Khangad exploration" LLC, “Mongolyn Alt MAK LLC”</w:t>
            </w:r>
            <w:r w:rsidRPr="00EB2AD9">
              <w:rPr>
                <w:rFonts w:ascii="Arial" w:eastAsia="Times New Roman" w:hAnsi="Arial" w:cs="Arial"/>
                <w:i/>
                <w:iCs/>
                <w:noProof/>
                <w:color w:val="000000" w:themeColor="text1"/>
                <w:sz w:val="22"/>
              </w:rPr>
              <w:t xml:space="preserve"> traded 14.55 million tons of coal for 5.87 trillion MNT through "Mongolian Stock Exchange" JSC. </w:t>
            </w:r>
            <w:r w:rsidRPr="00EB2AD9">
              <w:rPr>
                <w:rFonts w:ascii="Arial" w:eastAsia="Times New Roman" w:hAnsi="Arial" w:cs="Arial"/>
                <w:i/>
                <w:iCs/>
                <w:noProof/>
                <w:color w:val="000000" w:themeColor="text1"/>
                <w:sz w:val="22"/>
                <w:lang w:val="en-US"/>
              </w:rPr>
              <w:t>“</w:t>
            </w:r>
            <w:r w:rsidRPr="00EB2AD9">
              <w:rPr>
                <w:rFonts w:ascii="Arial" w:eastAsia="Times New Roman" w:hAnsi="Arial" w:cs="Arial"/>
                <w:i/>
                <w:iCs/>
                <w:noProof/>
                <w:color w:val="000000" w:themeColor="text1"/>
                <w:sz w:val="22"/>
              </w:rPr>
              <w:t>Mongolrostsvetmet</w:t>
            </w:r>
            <w:r w:rsidRPr="00EB2AD9">
              <w:rPr>
                <w:rFonts w:ascii="Arial" w:eastAsia="Times New Roman" w:hAnsi="Arial" w:cs="Arial"/>
                <w:i/>
                <w:iCs/>
                <w:noProof/>
                <w:color w:val="000000" w:themeColor="text1"/>
                <w:sz w:val="22"/>
                <w:lang w:val="en-US"/>
              </w:rPr>
              <w:t>”</w:t>
            </w:r>
            <w:r w:rsidRPr="00EB2AD9">
              <w:rPr>
                <w:rFonts w:ascii="Arial" w:eastAsia="Times New Roman" w:hAnsi="Arial" w:cs="Arial"/>
                <w:i/>
                <w:iCs/>
                <w:noProof/>
                <w:color w:val="000000" w:themeColor="text1"/>
                <w:sz w:val="22"/>
              </w:rPr>
              <w:t xml:space="preserve"> SOE and </w:t>
            </w:r>
            <w:r w:rsidRPr="00EB2AD9">
              <w:rPr>
                <w:rFonts w:ascii="Arial" w:eastAsia="Times New Roman" w:hAnsi="Arial" w:cs="Arial"/>
                <w:i/>
                <w:iCs/>
                <w:noProof/>
                <w:color w:val="000000" w:themeColor="text1"/>
                <w:sz w:val="22"/>
                <w:lang w:val="en-US"/>
              </w:rPr>
              <w:t>“</w:t>
            </w:r>
            <w:r w:rsidRPr="00EB2AD9">
              <w:rPr>
                <w:rFonts w:ascii="Arial" w:eastAsia="Times New Roman" w:hAnsi="Arial" w:cs="Arial"/>
                <w:i/>
                <w:iCs/>
                <w:noProof/>
                <w:color w:val="000000" w:themeColor="text1"/>
                <w:sz w:val="22"/>
              </w:rPr>
              <w:t>Darkhan Metallurgical Plant</w:t>
            </w:r>
            <w:r w:rsidRPr="00EB2AD9">
              <w:rPr>
                <w:rFonts w:ascii="Arial" w:eastAsia="Times New Roman" w:hAnsi="Arial" w:cs="Arial"/>
                <w:i/>
                <w:iCs/>
                <w:noProof/>
                <w:color w:val="000000" w:themeColor="text1"/>
                <w:sz w:val="22"/>
                <w:lang w:val="en-US"/>
              </w:rPr>
              <w:t>”</w:t>
            </w:r>
            <w:r w:rsidRPr="00EB2AD9">
              <w:rPr>
                <w:rFonts w:ascii="Arial" w:eastAsia="Times New Roman" w:hAnsi="Arial" w:cs="Arial"/>
                <w:i/>
                <w:iCs/>
                <w:noProof/>
                <w:color w:val="000000" w:themeColor="text1"/>
                <w:sz w:val="22"/>
              </w:rPr>
              <w:t xml:space="preserve"> </w:t>
            </w:r>
            <w:r w:rsidRPr="00EB2AD9">
              <w:rPr>
                <w:rFonts w:ascii="Arial" w:eastAsia="Times New Roman" w:hAnsi="Arial" w:cs="Arial"/>
                <w:i/>
                <w:iCs/>
                <w:noProof/>
                <w:color w:val="000000" w:themeColor="text1"/>
                <w:sz w:val="22"/>
                <w:lang w:val="en-US"/>
              </w:rPr>
              <w:t>LLC</w:t>
            </w:r>
            <w:r w:rsidRPr="00EB2AD9">
              <w:rPr>
                <w:rFonts w:ascii="Arial" w:eastAsia="Times New Roman" w:hAnsi="Arial" w:cs="Arial"/>
                <w:i/>
                <w:iCs/>
                <w:noProof/>
                <w:color w:val="000000" w:themeColor="text1"/>
                <w:sz w:val="22"/>
              </w:rPr>
              <w:t xml:space="preserve"> traded 980.1 thousand tons of iron ore and concentrate for 241.9 billion MNT.</w:t>
            </w:r>
          </w:p>
          <w:p w14:paraId="51E049CF" w14:textId="77777777" w:rsidR="00A631AB" w:rsidRPr="00EB2AD9" w:rsidRDefault="00A631AB" w:rsidP="00A631AB">
            <w:pPr>
              <w:spacing w:after="0" w:line="240" w:lineRule="auto"/>
              <w:jc w:val="both"/>
              <w:rPr>
                <w:rFonts w:ascii="Arial" w:eastAsia="Times New Roman" w:hAnsi="Arial" w:cs="Arial"/>
                <w:i/>
                <w:iCs/>
                <w:noProof/>
                <w:color w:val="000000" w:themeColor="text1"/>
                <w:sz w:val="22"/>
              </w:rPr>
            </w:pPr>
          </w:p>
          <w:p w14:paraId="5DA6AAC3" w14:textId="77777777" w:rsidR="00A631AB" w:rsidRPr="00EB2AD9" w:rsidRDefault="00A631AB" w:rsidP="00A631AB">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Erdenet Mining Corporation, which started trading copper concentrate from April of this year, traded 6.0 thousand tons of copper concentrate for 40.5 billion MNT. In June of this year, for the first time, "Mongolrostsvetmet"</w:t>
            </w:r>
            <w:r w:rsidRPr="00EB2AD9">
              <w:rPr>
                <w:rFonts w:ascii="Arial" w:eastAsia="Times New Roman" w:hAnsi="Arial" w:cs="Arial"/>
                <w:i/>
                <w:iCs/>
                <w:noProof/>
                <w:color w:val="000000" w:themeColor="text1"/>
                <w:sz w:val="22"/>
                <w:lang w:val="en-US"/>
              </w:rPr>
              <w:t xml:space="preserve"> SOE</w:t>
            </w:r>
            <w:r w:rsidRPr="00EB2AD9">
              <w:rPr>
                <w:rFonts w:ascii="Arial" w:eastAsia="Times New Roman" w:hAnsi="Arial" w:cs="Arial"/>
                <w:i/>
                <w:iCs/>
                <w:noProof/>
                <w:color w:val="000000" w:themeColor="text1"/>
                <w:sz w:val="22"/>
              </w:rPr>
              <w:t xml:space="preserve"> traded a total of 4.3 thousand tons of fluoride concentrate for 5.3 billion MNT.</w:t>
            </w:r>
          </w:p>
          <w:p w14:paraId="7577DC27" w14:textId="77777777" w:rsidR="00433644" w:rsidRPr="00EB2AD9" w:rsidRDefault="00433644" w:rsidP="00D2219E">
            <w:pPr>
              <w:spacing w:after="0" w:line="240" w:lineRule="auto"/>
              <w:jc w:val="both"/>
              <w:rPr>
                <w:rFonts w:ascii="Arial" w:eastAsia="Times New Roman" w:hAnsi="Arial" w:cs="Arial"/>
                <w:i/>
                <w:iCs/>
                <w:noProof/>
                <w:color w:val="000000" w:themeColor="text1"/>
                <w:sz w:val="22"/>
              </w:rPr>
            </w:pPr>
          </w:p>
          <w:p w14:paraId="6864D876" w14:textId="77777777" w:rsidR="00A631AB" w:rsidRPr="00EB2AD9" w:rsidRDefault="00A631AB" w:rsidP="00D2219E">
            <w:pPr>
              <w:numPr>
                <w:ilvl w:val="0"/>
                <w:numId w:val="11"/>
              </w:numPr>
              <w:tabs>
                <w:tab w:val="clear" w:pos="720"/>
                <w:tab w:val="num" w:pos="989"/>
              </w:tabs>
              <w:spacing w:after="0" w:line="240" w:lineRule="auto"/>
              <w:ind w:left="359"/>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New products:</w:t>
            </w:r>
          </w:p>
          <w:p w14:paraId="40A17391" w14:textId="12485815" w:rsidR="00C15312" w:rsidRPr="00EB2AD9" w:rsidRDefault="00C15312" w:rsidP="00A631AB">
            <w:pPr>
              <w:spacing w:after="0" w:line="240" w:lineRule="auto"/>
              <w:ind w:left="359"/>
              <w:jc w:val="both"/>
              <w:rPr>
                <w:rFonts w:ascii="Arial" w:eastAsia="Times New Roman" w:hAnsi="Arial" w:cs="Arial"/>
                <w:i/>
                <w:iCs/>
                <w:noProof/>
                <w:color w:val="000000" w:themeColor="text1"/>
                <w:sz w:val="22"/>
              </w:rPr>
            </w:pPr>
          </w:p>
          <w:p w14:paraId="3C32A267" w14:textId="77777777" w:rsidR="00A631AB" w:rsidRPr="00EB2AD9" w:rsidRDefault="00A631AB" w:rsidP="00F1137B">
            <w:pPr>
              <w:pStyle w:val="ListParagraph"/>
              <w:numPr>
                <w:ilvl w:val="0"/>
                <w:numId w:val="15"/>
              </w:num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"Ard Credit NBFI" LLC raised 8.9 billion MNT through the additional shares</w:t>
            </w:r>
            <w:r w:rsidRPr="00EB2AD9">
              <w:rPr>
                <w:rFonts w:ascii="Arial" w:eastAsia="Times New Roman" w:hAnsi="Arial" w:cs="Arial"/>
                <w:i/>
                <w:iCs/>
                <w:noProof/>
                <w:color w:val="000000" w:themeColor="text1"/>
                <w:sz w:val="22"/>
                <w:lang w:val="en-US"/>
              </w:rPr>
              <w:t xml:space="preserve"> </w:t>
            </w:r>
            <w:r w:rsidRPr="00EB2AD9">
              <w:rPr>
                <w:rFonts w:ascii="Arial" w:eastAsia="Times New Roman" w:hAnsi="Arial" w:cs="Arial"/>
                <w:i/>
                <w:iCs/>
                <w:noProof/>
                <w:color w:val="000000" w:themeColor="text1"/>
                <w:sz w:val="22"/>
              </w:rPr>
              <w:t>issuance.</w:t>
            </w:r>
          </w:p>
          <w:p w14:paraId="7D8D0DAD" w14:textId="77777777" w:rsidR="00A631AB" w:rsidRPr="00EB2AD9" w:rsidRDefault="00A631AB" w:rsidP="00F1137B">
            <w:pPr>
              <w:pStyle w:val="ListParagraph"/>
              <w:numPr>
                <w:ilvl w:val="0"/>
                <w:numId w:val="15"/>
              </w:num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lang w:val="en-US"/>
              </w:rPr>
              <w:t>“</w:t>
            </w:r>
            <w:r w:rsidRPr="00EB2AD9">
              <w:rPr>
                <w:rFonts w:ascii="Arial" w:eastAsia="Times New Roman" w:hAnsi="Arial" w:cs="Arial"/>
                <w:i/>
                <w:iCs/>
                <w:noProof/>
                <w:color w:val="000000" w:themeColor="text1"/>
                <w:sz w:val="22"/>
              </w:rPr>
              <w:t>MGL Aqua” LLC made IPO and raised 15.3 billion MNT.</w:t>
            </w:r>
          </w:p>
          <w:p w14:paraId="275291E5" w14:textId="77777777" w:rsidR="00A631AB" w:rsidRPr="00EB2AD9" w:rsidRDefault="00A631AB" w:rsidP="00F1137B">
            <w:pPr>
              <w:pStyle w:val="ListParagraph"/>
              <w:numPr>
                <w:ilvl w:val="0"/>
                <w:numId w:val="15"/>
              </w:num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"Bers ABS</w:t>
            </w:r>
            <w:r w:rsidRPr="00EB2AD9">
              <w:rPr>
                <w:rFonts w:ascii="Arial" w:eastAsia="Times New Roman" w:hAnsi="Arial" w:cs="Arial"/>
                <w:i/>
                <w:iCs/>
                <w:noProof/>
                <w:color w:val="000000" w:themeColor="text1"/>
                <w:sz w:val="22"/>
                <w:lang w:val="en-US"/>
              </w:rPr>
              <w:t xml:space="preserve"> loyalty</w:t>
            </w:r>
            <w:r w:rsidRPr="00EB2AD9">
              <w:rPr>
                <w:rFonts w:ascii="Arial" w:eastAsia="Times New Roman" w:hAnsi="Arial" w:cs="Arial"/>
                <w:i/>
                <w:iCs/>
                <w:noProof/>
                <w:color w:val="000000" w:themeColor="text1"/>
                <w:sz w:val="22"/>
              </w:rPr>
              <w:t>" issued 350,000 asset-backed securities with a total value of 35.0 billion MNT.</w:t>
            </w:r>
          </w:p>
          <w:p w14:paraId="25B3D556" w14:textId="640F75C8" w:rsidR="00A631AB" w:rsidRPr="00EB2AD9" w:rsidRDefault="00A631AB" w:rsidP="00F1137B">
            <w:pPr>
              <w:pStyle w:val="ListParagraph"/>
              <w:numPr>
                <w:ilvl w:val="0"/>
                <w:numId w:val="15"/>
              </w:num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w:t>
            </w:r>
            <w:r w:rsidRPr="00EB2AD9">
              <w:rPr>
                <w:rFonts w:ascii="Arial" w:hAnsi="Arial" w:cs="Arial"/>
                <w:sz w:val="22"/>
              </w:rPr>
              <w:t xml:space="preserve"> </w:t>
            </w:r>
            <w:r w:rsidRPr="00EB2AD9">
              <w:rPr>
                <w:rFonts w:ascii="Arial" w:eastAsia="Times New Roman" w:hAnsi="Arial" w:cs="Arial"/>
                <w:i/>
                <w:iCs/>
                <w:noProof/>
                <w:color w:val="000000" w:themeColor="text1"/>
                <w:sz w:val="22"/>
              </w:rPr>
              <w:t xml:space="preserve">Ashid capital NBFI " LLC issued 200,000 bonds with a total value </w:t>
            </w:r>
            <w:r w:rsidR="00B9748E" w:rsidRPr="00EB2AD9">
              <w:rPr>
                <w:rFonts w:ascii="Arial" w:eastAsia="Times New Roman" w:hAnsi="Arial" w:cs="Arial"/>
                <w:i/>
                <w:iCs/>
                <w:noProof/>
                <w:color w:val="000000" w:themeColor="text1"/>
                <w:sz w:val="22"/>
                <w:lang w:val="en-US"/>
              </w:rPr>
              <w:t>of</w:t>
            </w:r>
            <w:r w:rsidR="00B9748E" w:rsidRPr="00EB2AD9">
              <w:rPr>
                <w:rFonts w:ascii="Arial" w:eastAsia="Times New Roman" w:hAnsi="Arial" w:cs="Arial"/>
                <w:i/>
                <w:iCs/>
                <w:noProof/>
                <w:color w:val="000000" w:themeColor="text1"/>
                <w:sz w:val="22"/>
              </w:rPr>
              <w:t xml:space="preserve"> </w:t>
            </w:r>
            <w:r w:rsidRPr="00EB2AD9">
              <w:rPr>
                <w:rFonts w:ascii="Arial" w:eastAsia="Times New Roman" w:hAnsi="Arial" w:cs="Arial"/>
                <w:i/>
                <w:iCs/>
                <w:noProof/>
                <w:color w:val="000000" w:themeColor="text1"/>
                <w:sz w:val="22"/>
              </w:rPr>
              <w:t>20.0 billion MNT.</w:t>
            </w:r>
          </w:p>
          <w:p w14:paraId="7F0C013B" w14:textId="77777777" w:rsidR="00A631AB" w:rsidRPr="00EB2AD9" w:rsidRDefault="00A631AB" w:rsidP="00F1137B">
            <w:pPr>
              <w:pStyle w:val="ListParagraph"/>
              <w:numPr>
                <w:ilvl w:val="0"/>
                <w:numId w:val="15"/>
              </w:num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The primary market successfully organized the trading of 5,000,000 bonds with a total value of 500.0 billion MNT as part of the Mayor's program.</w:t>
            </w:r>
          </w:p>
          <w:p w14:paraId="7043C8E4" w14:textId="77777777" w:rsidR="00C15312" w:rsidRPr="00EB2AD9" w:rsidRDefault="00C15312" w:rsidP="00D2219E">
            <w:pPr>
              <w:spacing w:after="0" w:line="240" w:lineRule="auto"/>
              <w:jc w:val="both"/>
              <w:rPr>
                <w:rFonts w:ascii="Arial" w:eastAsia="Times New Roman" w:hAnsi="Arial" w:cs="Arial"/>
                <w:i/>
                <w:iCs/>
                <w:noProof/>
                <w:color w:val="000000" w:themeColor="text1"/>
                <w:sz w:val="22"/>
              </w:rPr>
            </w:pPr>
          </w:p>
          <w:p w14:paraId="46F68D08" w14:textId="77777777" w:rsidR="00A631AB" w:rsidRPr="00EB2AD9" w:rsidRDefault="00A631AB" w:rsidP="00A631AB">
            <w:pPr>
              <w:spacing w:after="0" w:line="240" w:lineRule="auto"/>
              <w:jc w:val="both"/>
              <w:rPr>
                <w:rFonts w:ascii="Arial" w:eastAsia="Times New Roman" w:hAnsi="Arial" w:cs="Arial"/>
                <w:i/>
                <w:iCs/>
                <w:noProof/>
                <w:color w:val="000000" w:themeColor="text1"/>
                <w:sz w:val="22"/>
                <w:lang w:val="en-US"/>
              </w:rPr>
            </w:pPr>
            <w:r w:rsidRPr="00EB2AD9">
              <w:rPr>
                <w:rFonts w:ascii="Arial" w:eastAsia="Times New Roman" w:hAnsi="Arial" w:cs="Arial"/>
                <w:i/>
                <w:iCs/>
                <w:noProof/>
                <w:color w:val="000000" w:themeColor="text1"/>
                <w:sz w:val="22"/>
                <w:lang w:val="en-US"/>
              </w:rPr>
              <w:t>As of June 28, 2024, 171 stocks, 12 corporate bonds, 2 investment funds, and 9 asset-backed securities are listed on the Mongolian Stock Exchange.</w:t>
            </w:r>
          </w:p>
          <w:p w14:paraId="7B8D3D5A" w14:textId="77777777" w:rsidR="00A631AB" w:rsidRPr="00EB2AD9" w:rsidRDefault="00A631AB" w:rsidP="00A631AB">
            <w:pPr>
              <w:spacing w:after="0" w:line="240" w:lineRule="auto"/>
              <w:jc w:val="both"/>
              <w:rPr>
                <w:rFonts w:ascii="Arial" w:eastAsia="Times New Roman" w:hAnsi="Arial" w:cs="Arial"/>
                <w:i/>
                <w:iCs/>
                <w:noProof/>
                <w:color w:val="000000" w:themeColor="text1"/>
                <w:sz w:val="22"/>
              </w:rPr>
            </w:pPr>
          </w:p>
          <w:p w14:paraId="5F901866" w14:textId="77777777" w:rsidR="00C15312" w:rsidRPr="00EB2AD9" w:rsidRDefault="00C15312" w:rsidP="00D2219E">
            <w:pPr>
              <w:spacing w:after="0" w:line="240" w:lineRule="auto"/>
              <w:jc w:val="both"/>
              <w:rPr>
                <w:rFonts w:ascii="Arial" w:eastAsia="Times New Roman" w:hAnsi="Arial" w:cs="Arial"/>
                <w:i/>
                <w:iCs/>
                <w:noProof/>
                <w:color w:val="000000" w:themeColor="text1"/>
                <w:sz w:val="22"/>
              </w:rPr>
            </w:pPr>
          </w:p>
          <w:p w14:paraId="4745B89B" w14:textId="64EA1B8E" w:rsidR="00C15312" w:rsidRPr="00EB2AD9" w:rsidRDefault="00A631AB" w:rsidP="00D2219E">
            <w:pPr>
              <w:numPr>
                <w:ilvl w:val="0"/>
                <w:numId w:val="11"/>
              </w:numPr>
              <w:tabs>
                <w:tab w:val="clear" w:pos="720"/>
              </w:tabs>
              <w:spacing w:after="0" w:line="240" w:lineRule="auto"/>
              <w:ind w:left="359"/>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Revision of the Securities Market Law:</w:t>
            </w:r>
          </w:p>
          <w:p w14:paraId="04301179" w14:textId="77777777" w:rsidR="00A631AB" w:rsidRPr="00EB2AD9" w:rsidRDefault="00A631AB" w:rsidP="00A631AB">
            <w:pPr>
              <w:spacing w:after="0" w:line="240" w:lineRule="auto"/>
              <w:ind w:left="359"/>
              <w:jc w:val="both"/>
              <w:rPr>
                <w:rFonts w:ascii="Arial" w:eastAsia="Times New Roman" w:hAnsi="Arial" w:cs="Arial"/>
                <w:i/>
                <w:iCs/>
                <w:noProof/>
                <w:color w:val="000000" w:themeColor="text1"/>
                <w:sz w:val="22"/>
              </w:rPr>
            </w:pPr>
          </w:p>
          <w:p w14:paraId="556D8091" w14:textId="77777777" w:rsidR="00A631AB" w:rsidRPr="00EB2AD9" w:rsidRDefault="00A631AB" w:rsidP="00D2219E">
            <w:pPr>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lastRenderedPageBreak/>
              <w:t>On May 16, 2024, the Parliament approved the amendments to the Securities Market Law.</w:t>
            </w:r>
          </w:p>
          <w:p w14:paraId="39C8E6A1" w14:textId="77777777" w:rsidR="00A631AB" w:rsidRPr="00EB2AD9" w:rsidRDefault="00A631AB" w:rsidP="00D2219E">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The law includes regulations related to new products and services, such as joint financing of shares, issuance of certificates of deposit (CDs), debt instruments from International Financial Institutions, trading of Closed JSC shares on stock exchanges, and securities borrowing and lending.</w:t>
            </w:r>
            <w:bookmarkStart w:id="4" w:name="_Hlk175925447"/>
            <w:bookmarkEnd w:id="3"/>
          </w:p>
          <w:p w14:paraId="3CB66CA4" w14:textId="77777777" w:rsidR="00A631AB" w:rsidRPr="00EB2AD9" w:rsidRDefault="00A631AB" w:rsidP="00D2219E">
            <w:pPr>
              <w:spacing w:after="0" w:line="240" w:lineRule="auto"/>
              <w:jc w:val="both"/>
              <w:rPr>
                <w:rFonts w:ascii="Arial" w:eastAsia="Times New Roman" w:hAnsi="Arial" w:cs="Arial"/>
                <w:i/>
                <w:iCs/>
                <w:noProof/>
                <w:color w:val="000000" w:themeColor="text1"/>
                <w:sz w:val="22"/>
              </w:rPr>
            </w:pPr>
          </w:p>
          <w:p w14:paraId="3EF5CFC7" w14:textId="60904477" w:rsidR="00B16614" w:rsidRPr="00EB2AD9" w:rsidRDefault="00A631AB" w:rsidP="00D2219E">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The Financial Regulatory Commission, the Mongolian Stock Exchange, and the Mongolian Association of Securities Dealers have the authority to approve more than 10 new and revised regulations to govern related matters. With the approval of these regulations, the legal framework for new products and services will be established.</w:t>
            </w:r>
          </w:p>
          <w:p w14:paraId="199F79B3" w14:textId="160C9428" w:rsidR="00A631AB" w:rsidRPr="00EB2AD9" w:rsidRDefault="00A631AB" w:rsidP="00D2219E">
            <w:pPr>
              <w:spacing w:after="0" w:line="240" w:lineRule="auto"/>
              <w:jc w:val="both"/>
              <w:rPr>
                <w:rFonts w:ascii="Arial" w:eastAsia="Times New Roman" w:hAnsi="Arial" w:cs="Arial"/>
                <w:i/>
                <w:iCs/>
                <w:noProof/>
                <w:color w:val="000000" w:themeColor="text1"/>
                <w:sz w:val="22"/>
              </w:rPr>
            </w:pPr>
          </w:p>
          <w:p w14:paraId="59B27982" w14:textId="06C0A6A3" w:rsidR="00A631AB" w:rsidRPr="00EB2AD9" w:rsidRDefault="00C91562" w:rsidP="00D2219E">
            <w:pPr>
              <w:numPr>
                <w:ilvl w:val="0"/>
                <w:numId w:val="11"/>
              </w:numPr>
              <w:tabs>
                <w:tab w:val="clear" w:pos="720"/>
                <w:tab w:val="num" w:pos="989"/>
              </w:tabs>
              <w:spacing w:after="0" w:line="240" w:lineRule="auto"/>
              <w:ind w:left="359"/>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Plans by the Exchange in Response to Market Changes:</w:t>
            </w:r>
          </w:p>
          <w:p w14:paraId="2C60773E" w14:textId="77777777" w:rsidR="00A631AB" w:rsidRPr="00EB2AD9" w:rsidRDefault="00A631AB" w:rsidP="00A631AB">
            <w:pPr>
              <w:spacing w:after="0" w:line="240" w:lineRule="auto"/>
              <w:ind w:left="359"/>
              <w:jc w:val="both"/>
              <w:rPr>
                <w:rFonts w:ascii="Arial" w:eastAsia="Times New Roman" w:hAnsi="Arial" w:cs="Arial"/>
                <w:i/>
                <w:iCs/>
                <w:noProof/>
                <w:color w:val="000000" w:themeColor="text1"/>
                <w:sz w:val="22"/>
              </w:rPr>
            </w:pPr>
          </w:p>
          <w:p w14:paraId="3EF6197A" w14:textId="7063C918" w:rsidR="00A631AB" w:rsidRPr="00EB2AD9" w:rsidRDefault="00A631AB" w:rsidP="00D2219E">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To facilitate the transition to an open joint-stock company, the shares of a closed joint-stock company will be listed on the securities trading organization. These shares will be offered to professional investors. We are working to establish trading conditions for these shares within the year.</w:t>
            </w:r>
          </w:p>
          <w:p w14:paraId="590C095C" w14:textId="77777777" w:rsidR="00A631AB" w:rsidRPr="00EB2AD9" w:rsidRDefault="00A631AB" w:rsidP="00D2219E">
            <w:pPr>
              <w:spacing w:after="0" w:line="240" w:lineRule="auto"/>
              <w:jc w:val="both"/>
              <w:rPr>
                <w:rFonts w:ascii="Arial" w:eastAsia="Times New Roman" w:hAnsi="Arial" w:cs="Arial"/>
                <w:i/>
                <w:iCs/>
                <w:noProof/>
                <w:color w:val="000000" w:themeColor="text1"/>
                <w:sz w:val="22"/>
              </w:rPr>
            </w:pPr>
          </w:p>
          <w:p w14:paraId="0E6A919A" w14:textId="6043D2B3" w:rsidR="00C15312" w:rsidRPr="00EB2AD9" w:rsidRDefault="00A631AB" w:rsidP="00D2219E">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In the next reporting period, amendments will be made to the "Listing rules" to simplify the listing requirements for TOP-100 enterprises. Additionally, changes will be made to the "Market Maker Operating Rules" in order to enable market maker activity.</w:t>
            </w:r>
          </w:p>
          <w:p w14:paraId="7AAAA7FA" w14:textId="77777777" w:rsidR="00A631AB" w:rsidRPr="00EB2AD9" w:rsidRDefault="00A631AB" w:rsidP="00D2219E">
            <w:pPr>
              <w:spacing w:after="0" w:line="240" w:lineRule="auto"/>
              <w:jc w:val="both"/>
              <w:rPr>
                <w:rFonts w:ascii="Arial" w:eastAsia="Times New Roman" w:hAnsi="Arial" w:cs="Arial"/>
                <w:i/>
                <w:iCs/>
                <w:noProof/>
                <w:color w:val="000000" w:themeColor="text1"/>
                <w:sz w:val="22"/>
              </w:rPr>
            </w:pPr>
          </w:p>
          <w:p w14:paraId="75427E5C" w14:textId="1A368DCC" w:rsidR="00C15312" w:rsidRPr="00EB2AD9" w:rsidRDefault="00A631AB" w:rsidP="00D2219E">
            <w:pPr>
              <w:spacing w:after="0"/>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In addition, an official meeting was organized with the Beijing Stock Exchange and US Chicago Commodity Exchange in the field of promoting Mongolia's stock market and mining products to foreign countries and expanding cooperation.</w:t>
            </w:r>
          </w:p>
          <w:p w14:paraId="39EA9A76" w14:textId="7834620D" w:rsidR="00A631AB" w:rsidRPr="00EB2AD9" w:rsidRDefault="00A631AB" w:rsidP="00D2219E">
            <w:pPr>
              <w:spacing w:after="0"/>
              <w:jc w:val="both"/>
              <w:rPr>
                <w:rFonts w:ascii="Arial" w:eastAsia="Times New Roman" w:hAnsi="Arial" w:cs="Arial"/>
                <w:i/>
                <w:iCs/>
                <w:noProof/>
                <w:color w:val="000000" w:themeColor="text1"/>
                <w:sz w:val="22"/>
              </w:rPr>
            </w:pPr>
          </w:p>
          <w:p w14:paraId="3B6338E3" w14:textId="4BA5BD20" w:rsidR="00C15312" w:rsidRPr="00EB2AD9" w:rsidRDefault="00A631AB" w:rsidP="00D2219E">
            <w:pPr>
              <w:spacing w:after="0" w:line="240" w:lineRule="auto"/>
              <w:jc w:val="both"/>
              <w:rPr>
                <w:rFonts w:ascii="Arial" w:eastAsia="Times New Roman" w:hAnsi="Arial" w:cs="Arial"/>
                <w:i/>
                <w:iCs/>
                <w:noProof/>
                <w:color w:val="000000" w:themeColor="text1"/>
                <w:sz w:val="22"/>
              </w:rPr>
            </w:pPr>
            <w:r w:rsidRPr="00EB2AD9">
              <w:rPr>
                <w:rFonts w:ascii="Arial" w:eastAsia="Times New Roman" w:hAnsi="Arial" w:cs="Arial"/>
                <w:i/>
                <w:iCs/>
                <w:noProof/>
                <w:color w:val="000000" w:themeColor="text1"/>
                <w:sz w:val="22"/>
              </w:rPr>
              <w:t>In the future, we aim to expand foreign cooperation, enhance opportunities for international investors to actively engage in the Mongolian financial market, refine the legal framework, and strengthen the coordination of activities among participating organizations.</w:t>
            </w:r>
            <w:bookmarkEnd w:id="4"/>
          </w:p>
        </w:tc>
      </w:tr>
      <w:tr w:rsidR="00C15312" w:rsidRPr="00EB2AD9" w14:paraId="1B4AE13F" w14:textId="77777777" w:rsidTr="00B7754C">
        <w:trPr>
          <w:trHeight w:val="72"/>
        </w:trPr>
        <w:tc>
          <w:tcPr>
            <w:tcW w:w="81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7B432A2" w14:textId="1D5D72E3" w:rsidR="00C15312" w:rsidRPr="00EB2AD9" w:rsidRDefault="00C15312" w:rsidP="00B7754C">
            <w:pPr>
              <w:spacing w:after="0" w:line="240" w:lineRule="auto"/>
              <w:rPr>
                <w:rFonts w:ascii="Arial" w:eastAsia="Times New Roman" w:hAnsi="Arial" w:cs="Arial"/>
                <w:i/>
                <w:iCs/>
                <w:color w:val="000000"/>
                <w:sz w:val="22"/>
                <w:lang w:eastAsia="mn-MN"/>
              </w:rPr>
            </w:pPr>
            <w:bookmarkStart w:id="5" w:name="_Hlk130915701"/>
            <w:bookmarkEnd w:id="2"/>
            <w:r w:rsidRPr="00EB2AD9">
              <w:rPr>
                <w:rFonts w:ascii="Arial" w:eastAsia="Times New Roman" w:hAnsi="Arial" w:cs="Arial"/>
                <w:i/>
                <w:iCs/>
                <w:color w:val="000000"/>
                <w:sz w:val="22"/>
                <w:lang w:eastAsia="mn-MN"/>
              </w:rPr>
              <w:lastRenderedPageBreak/>
              <w:t>3.4.</w:t>
            </w:r>
          </w:p>
        </w:tc>
        <w:tc>
          <w:tcPr>
            <w:tcW w:w="2160" w:type="dxa"/>
            <w:tcBorders>
              <w:top w:val="nil"/>
              <w:left w:val="nil"/>
              <w:bottom w:val="single" w:sz="4" w:space="0" w:color="auto"/>
              <w:right w:val="single" w:sz="4" w:space="0" w:color="auto"/>
            </w:tcBorders>
            <w:shd w:val="clear" w:color="auto" w:fill="D9E2F3" w:themeFill="accent1" w:themeFillTint="33"/>
            <w:vAlign w:val="center"/>
            <w:hideMark/>
          </w:tcPr>
          <w:p w14:paraId="7D56665A" w14:textId="77777777" w:rsidR="008E5D46" w:rsidRPr="00EB2AD9" w:rsidRDefault="008E5D46" w:rsidP="008E5D46">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Details of off-balance sheet</w:t>
            </w:r>
          </w:p>
          <w:p w14:paraId="76A183C7" w14:textId="77777777" w:rsidR="008E5D46" w:rsidRPr="00EB2AD9" w:rsidRDefault="008E5D46" w:rsidP="008E5D46">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transactions and information on</w:t>
            </w:r>
          </w:p>
          <w:p w14:paraId="770735DC" w14:textId="71AF1DEB" w:rsidR="00C15312" w:rsidRPr="00EB2AD9" w:rsidRDefault="008E5D46" w:rsidP="008E5D46">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accounting policies</w:t>
            </w:r>
          </w:p>
        </w:tc>
        <w:tc>
          <w:tcPr>
            <w:tcW w:w="7740" w:type="dxa"/>
            <w:gridSpan w:val="2"/>
            <w:tcBorders>
              <w:top w:val="nil"/>
              <w:left w:val="nil"/>
              <w:bottom w:val="single" w:sz="4" w:space="0" w:color="auto"/>
              <w:right w:val="single" w:sz="4" w:space="0" w:color="auto"/>
            </w:tcBorders>
            <w:shd w:val="clear" w:color="auto" w:fill="auto"/>
            <w:vAlign w:val="center"/>
            <w:hideMark/>
          </w:tcPr>
          <w:p w14:paraId="6AAA1DEC" w14:textId="05289198" w:rsidR="00C15312" w:rsidRPr="00EB2AD9" w:rsidRDefault="008E5D46" w:rsidP="009907E9">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There are no off-balance sheet transactions</w:t>
            </w:r>
          </w:p>
        </w:tc>
      </w:tr>
      <w:bookmarkEnd w:id="5"/>
      <w:tr w:rsidR="00C15312" w:rsidRPr="00EB2AD9" w14:paraId="55D9C01B" w14:textId="77777777" w:rsidTr="00B7754C">
        <w:trPr>
          <w:trHeight w:val="72"/>
        </w:trPr>
        <w:tc>
          <w:tcPr>
            <w:tcW w:w="81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0C10244F" w14:textId="08065C3F" w:rsidR="00C15312" w:rsidRPr="00EB2AD9" w:rsidRDefault="00C15312" w:rsidP="00B7754C">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4.</w:t>
            </w:r>
          </w:p>
        </w:tc>
        <w:tc>
          <w:tcPr>
            <w:tcW w:w="9900" w:type="dxa"/>
            <w:gridSpan w:val="3"/>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E4FFAED" w14:textId="77777777" w:rsidR="008E5D46" w:rsidRPr="00EB2AD9" w:rsidRDefault="008E5D46" w:rsidP="008E5D46">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Information on conflict of interest and significant transactions conducted by the issuer</w:t>
            </w:r>
          </w:p>
          <w:p w14:paraId="1D5A2CCB" w14:textId="77777777" w:rsidR="008E5D46" w:rsidRPr="00EB2AD9" w:rsidRDefault="008E5D46" w:rsidP="008E5D46">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during the reporting period, the importance and the purpose of the transaction, and</w:t>
            </w:r>
          </w:p>
          <w:p w14:paraId="2775214B" w14:textId="77777777" w:rsidR="008E5D46" w:rsidRPr="00EB2AD9" w:rsidRDefault="008E5D46" w:rsidP="008E5D46">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information about the person with a conflict of interest / all conflicts of interest transactions</w:t>
            </w:r>
          </w:p>
          <w:p w14:paraId="624D9854" w14:textId="538B00E7" w:rsidR="00C15312" w:rsidRPr="00EB2AD9" w:rsidRDefault="008E5D46" w:rsidP="008E5D46">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made during the reporting period shall be included/</w:t>
            </w:r>
          </w:p>
        </w:tc>
      </w:tr>
      <w:tr w:rsidR="00567CF7" w:rsidRPr="00EB2AD9" w14:paraId="713D0BF9" w14:textId="77777777" w:rsidTr="0050220D">
        <w:trPr>
          <w:trHeight w:val="72"/>
        </w:trPr>
        <w:tc>
          <w:tcPr>
            <w:tcW w:w="10710" w:type="dxa"/>
            <w:gridSpan w:val="4"/>
            <w:tcBorders>
              <w:top w:val="nil"/>
              <w:left w:val="single" w:sz="4" w:space="0" w:color="auto"/>
              <w:bottom w:val="single" w:sz="4" w:space="0" w:color="auto"/>
              <w:right w:val="single" w:sz="4" w:space="0" w:color="auto"/>
            </w:tcBorders>
            <w:shd w:val="clear" w:color="auto" w:fill="auto"/>
          </w:tcPr>
          <w:p w14:paraId="1D5B041C" w14:textId="77777777" w:rsidR="00976A1A" w:rsidRPr="00EB2AD9" w:rsidRDefault="00976A1A" w:rsidP="00C15312">
            <w:pPr>
              <w:spacing w:after="0" w:line="240" w:lineRule="auto"/>
              <w:rPr>
                <w:rFonts w:ascii="Arial" w:eastAsia="Times New Roman" w:hAnsi="Arial" w:cs="Arial"/>
                <w:i/>
                <w:iCs/>
                <w:color w:val="000000"/>
                <w:sz w:val="22"/>
                <w:highlight w:val="yellow"/>
                <w:lang w:eastAsia="mn-MN"/>
              </w:rPr>
            </w:pPr>
          </w:p>
          <w:p w14:paraId="04FB314C" w14:textId="77777777" w:rsidR="00976A1A" w:rsidRPr="00EB2AD9" w:rsidRDefault="008E5D46" w:rsidP="00C15312">
            <w:pPr>
              <w:spacing w:after="0" w:line="240" w:lineRule="auto"/>
              <w:rPr>
                <w:rFonts w:ascii="Arial" w:eastAsia="Times New Roman" w:hAnsi="Arial" w:cs="Arial"/>
                <w:i/>
                <w:iCs/>
                <w:color w:val="000000"/>
                <w:sz w:val="22"/>
                <w:lang w:val="en-US" w:eastAsia="mn-MN"/>
              </w:rPr>
            </w:pPr>
            <w:r w:rsidRPr="00EB2AD9">
              <w:rPr>
                <w:rFonts w:ascii="Arial" w:eastAsia="Times New Roman" w:hAnsi="Arial" w:cs="Arial"/>
                <w:i/>
                <w:iCs/>
                <w:color w:val="000000"/>
                <w:sz w:val="22"/>
                <w:lang w:val="en-US" w:eastAsia="mn-MN"/>
              </w:rPr>
              <w:t>During the reporting period, there were no transactions with conflicts of interest or large amounts.</w:t>
            </w:r>
          </w:p>
          <w:p w14:paraId="7E753346" w14:textId="257E9A89" w:rsidR="008E5D46" w:rsidRPr="00EB2AD9" w:rsidRDefault="008E5D46" w:rsidP="00C15312">
            <w:pPr>
              <w:spacing w:after="0" w:line="240" w:lineRule="auto"/>
              <w:rPr>
                <w:rFonts w:ascii="Arial" w:eastAsia="Times New Roman" w:hAnsi="Arial" w:cs="Arial"/>
                <w:i/>
                <w:iCs/>
                <w:color w:val="000000"/>
                <w:sz w:val="22"/>
                <w:highlight w:val="yellow"/>
                <w:lang w:eastAsia="mn-MN"/>
              </w:rPr>
            </w:pPr>
          </w:p>
        </w:tc>
      </w:tr>
      <w:tr w:rsidR="00731A85" w:rsidRPr="00EB2AD9" w14:paraId="31175B8D" w14:textId="77777777" w:rsidTr="00B7754C">
        <w:trPr>
          <w:trHeight w:val="818"/>
        </w:trPr>
        <w:tc>
          <w:tcPr>
            <w:tcW w:w="810"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713CEBE4" w14:textId="0AE891B3" w:rsidR="00731A85" w:rsidRPr="00EB2AD9" w:rsidRDefault="00731A85" w:rsidP="00B7754C">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5.</w:t>
            </w:r>
          </w:p>
        </w:tc>
        <w:tc>
          <w:tcPr>
            <w:tcW w:w="9900" w:type="dxa"/>
            <w:gridSpan w:val="3"/>
            <w:tcBorders>
              <w:top w:val="single" w:sz="4" w:space="0" w:color="auto"/>
              <w:left w:val="nil"/>
              <w:bottom w:val="single" w:sz="4" w:space="0" w:color="auto"/>
              <w:right w:val="single" w:sz="4" w:space="0" w:color="auto"/>
            </w:tcBorders>
            <w:shd w:val="clear" w:color="auto" w:fill="D9E2F3" w:themeFill="accent1" w:themeFillTint="33"/>
            <w:vAlign w:val="center"/>
          </w:tcPr>
          <w:p w14:paraId="49327DF7" w14:textId="1619A093" w:rsidR="008E5D46" w:rsidRPr="00EB2AD9" w:rsidRDefault="00A54778" w:rsidP="00EA5A70">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 xml:space="preserve">If the issuer has issued shares to the public for the purpose of implementing a project, </w:t>
            </w:r>
            <w:r w:rsidRPr="00EB2AD9">
              <w:rPr>
                <w:rFonts w:ascii="Arial" w:eastAsia="Times New Roman" w:hAnsi="Arial" w:cs="Arial"/>
                <w:i/>
                <w:iCs/>
                <w:color w:val="000000"/>
                <w:sz w:val="22"/>
                <w:lang w:val="en-US" w:eastAsia="mn-MN"/>
              </w:rPr>
              <w:t xml:space="preserve">it should </w:t>
            </w:r>
            <w:r w:rsidRPr="00EB2AD9">
              <w:rPr>
                <w:rFonts w:ascii="Arial" w:eastAsia="Times New Roman" w:hAnsi="Arial" w:cs="Arial"/>
                <w:i/>
                <w:iCs/>
                <w:color w:val="000000"/>
                <w:sz w:val="22"/>
                <w:lang w:eastAsia="mn-MN"/>
              </w:rPr>
              <w:t xml:space="preserve">issue reports and information on the progress of project implementation and the use of </w:t>
            </w:r>
            <w:r w:rsidRPr="00EB2AD9">
              <w:rPr>
                <w:rFonts w:ascii="Arial" w:eastAsia="Times New Roman" w:hAnsi="Arial" w:cs="Arial"/>
                <w:i/>
                <w:iCs/>
                <w:color w:val="000000"/>
                <w:sz w:val="22"/>
                <w:lang w:val="en-US" w:eastAsia="mn-MN"/>
              </w:rPr>
              <w:t>capital</w:t>
            </w:r>
            <w:r w:rsidRPr="00EB2AD9">
              <w:rPr>
                <w:rFonts w:ascii="Arial" w:eastAsia="Times New Roman" w:hAnsi="Arial" w:cs="Arial"/>
                <w:i/>
                <w:iCs/>
                <w:color w:val="000000"/>
                <w:sz w:val="22"/>
                <w:lang w:eastAsia="mn-MN"/>
              </w:rPr>
              <w:t xml:space="preserve"> collected since the start of the project.</w:t>
            </w:r>
          </w:p>
        </w:tc>
      </w:tr>
      <w:tr w:rsidR="00D25F85" w:rsidRPr="00EB2AD9" w14:paraId="54901195" w14:textId="77777777" w:rsidTr="00D25F85">
        <w:trPr>
          <w:trHeight w:val="72"/>
        </w:trPr>
        <w:tc>
          <w:tcPr>
            <w:tcW w:w="10710" w:type="dxa"/>
            <w:gridSpan w:val="4"/>
            <w:tcBorders>
              <w:top w:val="nil"/>
              <w:left w:val="single" w:sz="4" w:space="0" w:color="auto"/>
              <w:bottom w:val="single" w:sz="4" w:space="0" w:color="auto"/>
              <w:right w:val="single" w:sz="4" w:space="0" w:color="auto"/>
            </w:tcBorders>
            <w:shd w:val="clear" w:color="auto" w:fill="auto"/>
          </w:tcPr>
          <w:p w14:paraId="001C30FD" w14:textId="619C743F" w:rsidR="00D25F85" w:rsidRPr="00EB2AD9" w:rsidRDefault="001D25AD" w:rsidP="00C15312">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Appendix 1.</w:t>
            </w:r>
          </w:p>
        </w:tc>
      </w:tr>
      <w:tr w:rsidR="00C15312" w:rsidRPr="00EB2AD9" w14:paraId="7FB0C3D0" w14:textId="77777777" w:rsidTr="00D55699">
        <w:trPr>
          <w:trHeight w:val="17"/>
        </w:trPr>
        <w:tc>
          <w:tcPr>
            <w:tcW w:w="81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42A8327F" w14:textId="4FCDFC8D" w:rsidR="00C15312" w:rsidRPr="00EB2AD9" w:rsidRDefault="00D25F85" w:rsidP="00D55699">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6</w:t>
            </w:r>
            <w:r w:rsidR="00C15312" w:rsidRPr="00EB2AD9">
              <w:rPr>
                <w:rFonts w:ascii="Arial" w:eastAsia="Times New Roman" w:hAnsi="Arial" w:cs="Arial"/>
                <w:i/>
                <w:iCs/>
                <w:color w:val="000000"/>
                <w:sz w:val="22"/>
                <w:lang w:eastAsia="mn-MN"/>
              </w:rPr>
              <w:t>.</w:t>
            </w:r>
          </w:p>
        </w:tc>
        <w:tc>
          <w:tcPr>
            <w:tcW w:w="9900" w:type="dxa"/>
            <w:gridSpan w:val="3"/>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9A5FB91" w14:textId="4165B52D" w:rsidR="00C15312" w:rsidRPr="00EB2AD9" w:rsidRDefault="001D25AD" w:rsidP="00EA5A70">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Information related to corporate governance</w:t>
            </w:r>
          </w:p>
        </w:tc>
      </w:tr>
      <w:tr w:rsidR="00974E64" w:rsidRPr="00EB2AD9" w14:paraId="50632DBB" w14:textId="77777777" w:rsidTr="271ED4F3">
        <w:trPr>
          <w:trHeight w:val="530"/>
        </w:trPr>
        <w:tc>
          <w:tcPr>
            <w:tcW w:w="10710" w:type="dxa"/>
            <w:gridSpan w:val="4"/>
            <w:tcBorders>
              <w:top w:val="nil"/>
              <w:left w:val="single" w:sz="4" w:space="0" w:color="auto"/>
              <w:bottom w:val="single" w:sz="4" w:space="0" w:color="auto"/>
              <w:right w:val="single" w:sz="4" w:space="0" w:color="000000" w:themeColor="text1"/>
            </w:tcBorders>
            <w:shd w:val="clear" w:color="auto" w:fill="auto"/>
            <w:hideMark/>
          </w:tcPr>
          <w:p w14:paraId="54DCA296" w14:textId="77777777" w:rsidR="00974E64" w:rsidRPr="00EB2AD9" w:rsidRDefault="00974E64" w:rsidP="00974E64">
            <w:pPr>
              <w:spacing w:after="0" w:line="240" w:lineRule="auto"/>
              <w:jc w:val="right"/>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 </w:t>
            </w:r>
          </w:p>
          <w:p w14:paraId="2F5632FA" w14:textId="77777777" w:rsidR="00974E64" w:rsidRPr="00EB2AD9" w:rsidRDefault="00974E64" w:rsidP="00974E64">
            <w:pPr>
              <w:pStyle w:val="Heading3"/>
              <w:spacing w:line="240" w:lineRule="auto"/>
              <w:rPr>
                <w:rFonts w:ascii="Arial" w:hAnsi="Arial" w:cs="Arial"/>
                <w:i/>
                <w:iCs/>
                <w:noProof/>
                <w:sz w:val="22"/>
                <w:lang w:val="en-US"/>
              </w:rPr>
            </w:pPr>
            <w:r w:rsidRPr="00EB2AD9">
              <w:rPr>
                <w:rFonts w:ascii="Arial" w:hAnsi="Arial" w:cs="Arial"/>
                <w:i/>
                <w:iCs/>
                <w:noProof/>
                <w:sz w:val="22"/>
                <w:lang w:val="en-US"/>
              </w:rPr>
              <w:lastRenderedPageBreak/>
              <w:t>Board Responsibilities</w:t>
            </w:r>
          </w:p>
          <w:p w14:paraId="18EE7C89" w14:textId="77777777" w:rsidR="00974E64" w:rsidRPr="00EB2AD9" w:rsidRDefault="00974E64" w:rsidP="00974E64">
            <w:pPr>
              <w:autoSpaceDE w:val="0"/>
              <w:autoSpaceDN w:val="0"/>
              <w:adjustRightInd w:val="0"/>
              <w:spacing w:line="240" w:lineRule="auto"/>
              <w:jc w:val="both"/>
              <w:rPr>
                <w:rFonts w:ascii="Arial" w:hAnsi="Arial" w:cs="Arial"/>
                <w:i/>
                <w:iCs/>
                <w:noProof/>
                <w:color w:val="000000" w:themeColor="text1"/>
                <w:sz w:val="22"/>
              </w:rPr>
            </w:pPr>
            <w:r w:rsidRPr="00EB2AD9">
              <w:rPr>
                <w:rFonts w:ascii="Arial" w:hAnsi="Arial" w:cs="Arial"/>
                <w:i/>
                <w:iCs/>
                <w:noProof/>
                <w:sz w:val="22"/>
                <w:lang w:val="en-US"/>
              </w:rPr>
              <w:t>The Board of Directors</w:t>
            </w:r>
            <w:r w:rsidRPr="00EB2AD9">
              <w:rPr>
                <w:rFonts w:ascii="Arial" w:hAnsi="Arial" w:cs="Arial"/>
                <w:i/>
                <w:iCs/>
                <w:noProof/>
                <w:sz w:val="22"/>
              </w:rPr>
              <w:t xml:space="preserve"> (</w:t>
            </w:r>
            <w:r w:rsidRPr="00EB2AD9">
              <w:rPr>
                <w:rFonts w:ascii="Arial" w:hAnsi="Arial" w:cs="Arial"/>
                <w:i/>
                <w:iCs/>
                <w:noProof/>
                <w:sz w:val="22"/>
                <w:lang w:val="en-US"/>
              </w:rPr>
              <w:t>The Board</w:t>
            </w:r>
            <w:r w:rsidRPr="00EB2AD9">
              <w:rPr>
                <w:rFonts w:ascii="Arial" w:hAnsi="Arial" w:cs="Arial"/>
                <w:i/>
                <w:iCs/>
                <w:noProof/>
                <w:sz w:val="22"/>
              </w:rPr>
              <w:t xml:space="preserve">) </w:t>
            </w:r>
            <w:r w:rsidRPr="00EB2AD9">
              <w:rPr>
                <w:rFonts w:ascii="Arial" w:hAnsi="Arial" w:cs="Arial"/>
                <w:i/>
                <w:iCs/>
                <w:noProof/>
                <w:sz w:val="22"/>
                <w:lang w:val="en-US"/>
              </w:rPr>
              <w:t>is accountable to the shareholders for the performance of the MSE.</w:t>
            </w:r>
            <w:r w:rsidRPr="00EB2AD9">
              <w:rPr>
                <w:rFonts w:ascii="Arial" w:hAnsi="Arial" w:cs="Arial"/>
                <w:i/>
                <w:iCs/>
                <w:noProof/>
                <w:sz w:val="22"/>
              </w:rPr>
              <w:t xml:space="preserve"> </w:t>
            </w:r>
            <w:r w:rsidRPr="00EB2AD9">
              <w:rPr>
                <w:rFonts w:ascii="Arial" w:hAnsi="Arial" w:cs="Arial"/>
                <w:i/>
                <w:iCs/>
                <w:noProof/>
                <w:sz w:val="22"/>
                <w:lang w:val="en-US"/>
              </w:rPr>
              <w:t>The board is responsible for evaluating, reviewing, and appointing the CEO’s performance results, internal control, risk management, and monitoring the implementation of laws and regulations.</w:t>
            </w:r>
          </w:p>
          <w:p w14:paraId="102C53D6" w14:textId="77777777" w:rsidR="00974E64" w:rsidRPr="00EB2AD9" w:rsidRDefault="00974E64" w:rsidP="00974E64">
            <w:pPr>
              <w:autoSpaceDE w:val="0"/>
              <w:autoSpaceDN w:val="0"/>
              <w:adjustRightInd w:val="0"/>
              <w:spacing w:line="240" w:lineRule="auto"/>
              <w:jc w:val="both"/>
              <w:rPr>
                <w:rFonts w:ascii="Arial" w:hAnsi="Arial" w:cs="Arial"/>
                <w:i/>
                <w:iCs/>
                <w:noProof/>
                <w:sz w:val="22"/>
                <w:lang w:val="en-US"/>
              </w:rPr>
            </w:pPr>
            <w:r w:rsidRPr="00EB2AD9">
              <w:rPr>
                <w:rFonts w:ascii="Arial" w:hAnsi="Arial" w:cs="Arial"/>
                <w:i/>
                <w:iCs/>
                <w:noProof/>
                <w:sz w:val="22"/>
                <w:lang w:val="en-US"/>
              </w:rPr>
              <w:t>During the reporting period, the executive management team of the Mongolian Stock Exchange held regular meetings to monitor the implementation of operational strategies, goals, and objectives. The duties of the Board are clearly stated in the “Regulations of the Mongolian Stock Exchange” and “Rules of Procedure of the Board of Directors”.</w:t>
            </w:r>
          </w:p>
          <w:p w14:paraId="0F98F7D6" w14:textId="77777777" w:rsidR="00974E64" w:rsidRPr="00EB2AD9" w:rsidRDefault="00974E64" w:rsidP="00974E64">
            <w:pPr>
              <w:pStyle w:val="Heading3"/>
              <w:spacing w:line="240" w:lineRule="auto"/>
              <w:rPr>
                <w:rFonts w:ascii="Arial" w:hAnsi="Arial" w:cs="Arial"/>
                <w:i/>
                <w:iCs/>
                <w:noProof/>
                <w:sz w:val="22"/>
                <w:lang w:val="en-US"/>
              </w:rPr>
            </w:pPr>
            <w:r w:rsidRPr="00EB2AD9">
              <w:rPr>
                <w:rFonts w:ascii="Arial" w:hAnsi="Arial" w:cs="Arial"/>
                <w:i/>
                <w:iCs/>
                <w:noProof/>
                <w:sz w:val="22"/>
                <w:lang w:val="en-US"/>
              </w:rPr>
              <w:t>Committees under The Board</w:t>
            </w:r>
          </w:p>
          <w:p w14:paraId="7A687DF8" w14:textId="77777777" w:rsidR="00974E64" w:rsidRPr="00EB2AD9" w:rsidRDefault="00974E64" w:rsidP="00974E64">
            <w:pPr>
              <w:autoSpaceDE w:val="0"/>
              <w:autoSpaceDN w:val="0"/>
              <w:adjustRightInd w:val="0"/>
              <w:spacing w:line="240" w:lineRule="auto"/>
              <w:jc w:val="both"/>
              <w:rPr>
                <w:rFonts w:ascii="Arial" w:hAnsi="Arial" w:cs="Arial"/>
                <w:i/>
                <w:iCs/>
                <w:noProof/>
                <w:sz w:val="22"/>
                <w:lang w:val="en-US"/>
              </w:rPr>
            </w:pPr>
            <w:r w:rsidRPr="00EB2AD9">
              <w:rPr>
                <w:rFonts w:ascii="Arial" w:hAnsi="Arial" w:cs="Arial"/>
                <w:i/>
                <w:iCs/>
                <w:noProof/>
                <w:sz w:val="22"/>
                <w:lang w:val="en-US"/>
              </w:rPr>
              <w:t>MSE has 4 permanent committees with set responsibilities assigned by the Board, and the main purpose of these committees form an opinion to support the decision-making activities of the board of directors. The activities of the committees are regulated by the “Rules of the company” and  “Rules of Procedures of the Board of Directors”.</w:t>
            </w:r>
          </w:p>
          <w:p w14:paraId="15B579E6" w14:textId="77777777" w:rsidR="00974E64" w:rsidRPr="00EB2AD9" w:rsidRDefault="00974E64" w:rsidP="00974E64">
            <w:pPr>
              <w:autoSpaceDE w:val="0"/>
              <w:autoSpaceDN w:val="0"/>
              <w:adjustRightInd w:val="0"/>
              <w:spacing w:after="0" w:line="240" w:lineRule="auto"/>
              <w:jc w:val="both"/>
              <w:rPr>
                <w:rFonts w:ascii="Arial" w:hAnsi="Arial" w:cs="Arial"/>
                <w:i/>
                <w:iCs/>
                <w:noProof/>
                <w:color w:val="000000"/>
                <w:sz w:val="22"/>
              </w:rPr>
            </w:pPr>
            <w:r w:rsidRPr="00EB2AD9">
              <w:rPr>
                <w:rFonts w:ascii="Arial" w:hAnsi="Arial" w:cs="Arial"/>
                <w:i/>
                <w:iCs/>
                <w:noProof/>
                <w:color w:val="000000"/>
                <w:sz w:val="22"/>
                <w:lang w:val="en-US"/>
              </w:rPr>
              <w:t>Committees of the Board</w:t>
            </w:r>
            <w:r w:rsidRPr="00EB2AD9">
              <w:rPr>
                <w:rFonts w:ascii="Arial" w:hAnsi="Arial" w:cs="Arial"/>
                <w:i/>
                <w:iCs/>
                <w:noProof/>
                <w:color w:val="000000"/>
                <w:sz w:val="22"/>
              </w:rPr>
              <w:t>:</w:t>
            </w:r>
          </w:p>
          <w:p w14:paraId="6E12281F" w14:textId="77777777" w:rsidR="00974E64" w:rsidRPr="00EB2AD9" w:rsidRDefault="00974E64" w:rsidP="00974E64">
            <w:pPr>
              <w:pStyle w:val="ListParagraph"/>
              <w:numPr>
                <w:ilvl w:val="0"/>
                <w:numId w:val="1"/>
              </w:numPr>
              <w:autoSpaceDE w:val="0"/>
              <w:autoSpaceDN w:val="0"/>
              <w:adjustRightInd w:val="0"/>
              <w:spacing w:after="0" w:line="240" w:lineRule="auto"/>
              <w:jc w:val="both"/>
              <w:rPr>
                <w:rFonts w:ascii="Arial" w:hAnsi="Arial" w:cs="Arial"/>
                <w:i/>
                <w:iCs/>
                <w:noProof/>
                <w:color w:val="000000"/>
                <w:sz w:val="22"/>
              </w:rPr>
            </w:pPr>
            <w:r w:rsidRPr="00EB2AD9">
              <w:rPr>
                <w:rFonts w:ascii="Arial" w:hAnsi="Arial" w:cs="Arial"/>
                <w:i/>
                <w:iCs/>
                <w:noProof/>
                <w:color w:val="000000"/>
                <w:sz w:val="22"/>
                <w:lang w:val="en-US"/>
              </w:rPr>
              <w:t>Nomination committee</w:t>
            </w:r>
            <w:r w:rsidRPr="00EB2AD9">
              <w:rPr>
                <w:rFonts w:ascii="Arial" w:hAnsi="Arial" w:cs="Arial"/>
                <w:i/>
                <w:iCs/>
                <w:noProof/>
                <w:color w:val="000000"/>
                <w:sz w:val="22"/>
              </w:rPr>
              <w:t>;</w:t>
            </w:r>
          </w:p>
          <w:p w14:paraId="499A169C" w14:textId="77777777" w:rsidR="00974E64" w:rsidRPr="00EB2AD9" w:rsidRDefault="00974E64" w:rsidP="00974E64">
            <w:pPr>
              <w:pStyle w:val="ListParagraph"/>
              <w:numPr>
                <w:ilvl w:val="0"/>
                <w:numId w:val="1"/>
              </w:numPr>
              <w:autoSpaceDE w:val="0"/>
              <w:autoSpaceDN w:val="0"/>
              <w:adjustRightInd w:val="0"/>
              <w:spacing w:after="0" w:line="240" w:lineRule="auto"/>
              <w:jc w:val="both"/>
              <w:rPr>
                <w:rFonts w:ascii="Arial" w:hAnsi="Arial" w:cs="Arial"/>
                <w:i/>
                <w:iCs/>
                <w:noProof/>
                <w:color w:val="000000"/>
                <w:sz w:val="22"/>
              </w:rPr>
            </w:pPr>
            <w:r w:rsidRPr="00EB2AD9">
              <w:rPr>
                <w:rFonts w:ascii="Arial" w:hAnsi="Arial" w:cs="Arial"/>
                <w:i/>
                <w:iCs/>
                <w:noProof/>
                <w:color w:val="000000"/>
                <w:sz w:val="22"/>
                <w:lang w:val="en-US"/>
              </w:rPr>
              <w:t>Audit committee</w:t>
            </w:r>
            <w:r w:rsidRPr="00EB2AD9">
              <w:rPr>
                <w:rFonts w:ascii="Arial" w:hAnsi="Arial" w:cs="Arial"/>
                <w:i/>
                <w:iCs/>
                <w:noProof/>
                <w:color w:val="000000"/>
                <w:sz w:val="22"/>
              </w:rPr>
              <w:t>;</w:t>
            </w:r>
          </w:p>
          <w:p w14:paraId="3762477F" w14:textId="77777777" w:rsidR="00974E64" w:rsidRPr="00EB2AD9" w:rsidRDefault="00974E64" w:rsidP="00974E64">
            <w:pPr>
              <w:pStyle w:val="ListParagraph"/>
              <w:numPr>
                <w:ilvl w:val="0"/>
                <w:numId w:val="1"/>
              </w:numPr>
              <w:autoSpaceDE w:val="0"/>
              <w:autoSpaceDN w:val="0"/>
              <w:adjustRightInd w:val="0"/>
              <w:spacing w:line="240" w:lineRule="auto"/>
              <w:jc w:val="both"/>
              <w:rPr>
                <w:rFonts w:ascii="Arial" w:hAnsi="Arial" w:cs="Arial"/>
                <w:i/>
                <w:iCs/>
                <w:noProof/>
                <w:color w:val="000000"/>
                <w:sz w:val="22"/>
              </w:rPr>
            </w:pPr>
            <w:r w:rsidRPr="00EB2AD9">
              <w:rPr>
                <w:rFonts w:ascii="Arial" w:hAnsi="Arial" w:cs="Arial"/>
                <w:i/>
                <w:iCs/>
                <w:noProof/>
                <w:color w:val="000000"/>
                <w:sz w:val="22"/>
                <w:lang w:val="en-US"/>
              </w:rPr>
              <w:t>Compensation committee;</w:t>
            </w:r>
          </w:p>
          <w:p w14:paraId="505DB165" w14:textId="77777777" w:rsidR="00974E64" w:rsidRPr="00EB2AD9" w:rsidRDefault="00974E64" w:rsidP="00974E64">
            <w:pPr>
              <w:pStyle w:val="ListParagraph"/>
              <w:numPr>
                <w:ilvl w:val="0"/>
                <w:numId w:val="1"/>
              </w:numPr>
              <w:autoSpaceDE w:val="0"/>
              <w:autoSpaceDN w:val="0"/>
              <w:adjustRightInd w:val="0"/>
              <w:spacing w:line="240" w:lineRule="auto"/>
              <w:jc w:val="both"/>
              <w:rPr>
                <w:rFonts w:ascii="Arial" w:hAnsi="Arial" w:cs="Arial"/>
                <w:i/>
                <w:iCs/>
                <w:noProof/>
                <w:color w:val="000000"/>
                <w:sz w:val="22"/>
              </w:rPr>
            </w:pPr>
            <w:r w:rsidRPr="00EB2AD9">
              <w:rPr>
                <w:rFonts w:ascii="Arial" w:hAnsi="Arial" w:cs="Arial"/>
                <w:i/>
                <w:iCs/>
                <w:noProof/>
                <w:color w:val="000000"/>
                <w:sz w:val="22"/>
                <w:lang w:val="en-US"/>
              </w:rPr>
              <w:t>Risk and compliance committee.</w:t>
            </w:r>
          </w:p>
          <w:p w14:paraId="356B5CDD" w14:textId="77777777" w:rsidR="00974E64" w:rsidRPr="00EB2AD9" w:rsidRDefault="00974E64" w:rsidP="00974E64">
            <w:pPr>
              <w:autoSpaceDE w:val="0"/>
              <w:autoSpaceDN w:val="0"/>
              <w:adjustRightInd w:val="0"/>
              <w:spacing w:line="240" w:lineRule="auto"/>
              <w:jc w:val="both"/>
              <w:rPr>
                <w:rFonts w:ascii="Arial" w:hAnsi="Arial" w:cs="Arial"/>
                <w:i/>
                <w:iCs/>
                <w:noProof/>
                <w:sz w:val="22"/>
                <w:lang w:val="en-US"/>
              </w:rPr>
            </w:pPr>
            <w:r w:rsidRPr="00EB2AD9">
              <w:rPr>
                <w:rFonts w:ascii="Arial" w:hAnsi="Arial" w:cs="Arial"/>
                <w:i/>
                <w:iCs/>
                <w:noProof/>
                <w:sz w:val="22"/>
                <w:lang w:val="en-US"/>
              </w:rPr>
              <w:t xml:space="preserve">The Board member can serve on more than one committee. The Companies Act stipulates that an independent member of the Board shall serve on the audit committee. </w:t>
            </w:r>
          </w:p>
          <w:p w14:paraId="72D656B6" w14:textId="77777777" w:rsidR="00974E64" w:rsidRPr="00EB2AD9" w:rsidRDefault="00974E64" w:rsidP="00974E64">
            <w:pPr>
              <w:pStyle w:val="Heading3"/>
              <w:spacing w:line="240" w:lineRule="auto"/>
              <w:rPr>
                <w:rFonts w:ascii="Arial" w:hAnsi="Arial" w:cs="Arial"/>
                <w:i/>
                <w:iCs/>
                <w:noProof/>
                <w:sz w:val="22"/>
                <w:lang w:val="en-US"/>
              </w:rPr>
            </w:pPr>
            <w:r w:rsidRPr="00EB2AD9">
              <w:rPr>
                <w:rFonts w:ascii="Arial" w:hAnsi="Arial" w:cs="Arial"/>
                <w:i/>
                <w:iCs/>
                <w:noProof/>
                <w:sz w:val="22"/>
                <w:lang w:val="en-US"/>
              </w:rPr>
              <w:t>Nomination, appointment, and renewal of the Board members</w:t>
            </w:r>
          </w:p>
          <w:p w14:paraId="23C96873" w14:textId="77777777" w:rsidR="00974E64" w:rsidRPr="00EB2AD9" w:rsidRDefault="00974E64" w:rsidP="00974E64">
            <w:pPr>
              <w:autoSpaceDE w:val="0"/>
              <w:autoSpaceDN w:val="0"/>
              <w:adjustRightInd w:val="0"/>
              <w:spacing w:after="0" w:line="240" w:lineRule="auto"/>
              <w:jc w:val="both"/>
              <w:rPr>
                <w:rFonts w:ascii="Arial" w:hAnsi="Arial" w:cs="Arial"/>
                <w:i/>
                <w:iCs/>
                <w:noProof/>
                <w:color w:val="000000"/>
                <w:sz w:val="22"/>
                <w:lang w:val="en-US"/>
              </w:rPr>
            </w:pPr>
            <w:r w:rsidRPr="00EB2AD9">
              <w:rPr>
                <w:rFonts w:ascii="Arial" w:hAnsi="Arial" w:cs="Arial"/>
                <w:i/>
                <w:iCs/>
                <w:noProof/>
                <w:color w:val="000000"/>
                <w:sz w:val="22"/>
                <w:lang w:val="en-US"/>
              </w:rPr>
              <w:t>A nomination committee is established for independent evaluation of the structure and composition of the Board. The Nomination Committee examines the skills and experience of the members of the Board, evaluates and reviews whether the members’ skills are suitable for forming the operational strategy of the MSE, and monitors its implementation. Based on this assessment, a new member is nominated for the Board. Before appointing the members, a comprehensive investigation and inquiry are also carried out by the Companies Act and other relevant regulations on subjects such as education, skills, previous employment history whether they have significant credit debts, or whether they have a criminal record.</w:t>
            </w:r>
          </w:p>
          <w:p w14:paraId="00B8BFA6" w14:textId="77777777" w:rsidR="00974E64" w:rsidRPr="00EB2AD9" w:rsidRDefault="00974E64" w:rsidP="00974E64">
            <w:pPr>
              <w:autoSpaceDE w:val="0"/>
              <w:autoSpaceDN w:val="0"/>
              <w:adjustRightInd w:val="0"/>
              <w:spacing w:after="0" w:line="240" w:lineRule="auto"/>
              <w:jc w:val="both"/>
              <w:rPr>
                <w:rFonts w:ascii="Arial" w:hAnsi="Arial" w:cs="Arial"/>
                <w:i/>
                <w:iCs/>
                <w:noProof/>
                <w:color w:val="000000"/>
                <w:sz w:val="22"/>
              </w:rPr>
            </w:pPr>
          </w:p>
          <w:p w14:paraId="4A9CFBCD" w14:textId="77777777" w:rsidR="00974E64" w:rsidRPr="00EB2AD9" w:rsidRDefault="00974E64" w:rsidP="00974E64">
            <w:pPr>
              <w:pStyle w:val="Heading3"/>
              <w:spacing w:line="240" w:lineRule="auto"/>
              <w:rPr>
                <w:rFonts w:ascii="Arial" w:hAnsi="Arial" w:cs="Arial"/>
                <w:b w:val="0"/>
                <w:bCs/>
                <w:i/>
                <w:iCs/>
                <w:noProof/>
                <w:color w:val="000000" w:themeColor="text1"/>
                <w:sz w:val="22"/>
              </w:rPr>
            </w:pPr>
            <w:r w:rsidRPr="00EB2AD9">
              <w:rPr>
                <w:rFonts w:ascii="Arial" w:hAnsi="Arial" w:cs="Arial"/>
                <w:bCs/>
                <w:i/>
                <w:iCs/>
                <w:noProof/>
                <w:color w:val="000000" w:themeColor="text1"/>
                <w:sz w:val="22"/>
                <w:lang w:val="en-US"/>
              </w:rPr>
              <w:t xml:space="preserve">Release or re-election of members of the Board </w:t>
            </w:r>
          </w:p>
          <w:p w14:paraId="0374BFAB" w14:textId="77777777" w:rsidR="00974E64" w:rsidRPr="00EB2AD9" w:rsidRDefault="00974E64" w:rsidP="00974E64">
            <w:pPr>
              <w:autoSpaceDE w:val="0"/>
              <w:autoSpaceDN w:val="0"/>
              <w:adjustRightInd w:val="0"/>
              <w:spacing w:line="240" w:lineRule="auto"/>
              <w:jc w:val="both"/>
              <w:rPr>
                <w:rFonts w:ascii="Arial" w:hAnsi="Arial" w:cs="Arial"/>
                <w:i/>
                <w:iCs/>
                <w:noProof/>
                <w:color w:val="000000" w:themeColor="text1"/>
                <w:sz w:val="22"/>
              </w:rPr>
            </w:pPr>
            <w:r w:rsidRPr="00EB2AD9">
              <w:rPr>
                <w:rFonts w:ascii="Arial" w:hAnsi="Arial" w:cs="Arial"/>
                <w:i/>
                <w:iCs/>
                <w:noProof/>
                <w:sz w:val="22"/>
                <w:lang w:val="en-US"/>
              </w:rPr>
              <w:t xml:space="preserve">The shareholders’ meeting elects the members of the board of directors for a term of 3 years, and the member can be re-elected. In 2023, members D. Togtokhbayar, J. Tsogtbayar, J. Byambasuren, T. Ganbaatar, S. Bayantsogt, R. Munkhtur, N. Ulaankhuu, N. Otgonchimeg, M. Banzragch were re-elected. </w:t>
            </w:r>
          </w:p>
          <w:p w14:paraId="30E9BA0B" w14:textId="77777777" w:rsidR="00974E64" w:rsidRPr="00EB2AD9" w:rsidRDefault="00974E64" w:rsidP="00974E64">
            <w:pPr>
              <w:pStyle w:val="Heading3"/>
              <w:spacing w:line="240" w:lineRule="auto"/>
              <w:rPr>
                <w:rFonts w:ascii="Arial" w:hAnsi="Arial" w:cs="Arial"/>
                <w:bCs/>
                <w:i/>
                <w:iCs/>
                <w:noProof/>
                <w:color w:val="000000" w:themeColor="text1"/>
                <w:sz w:val="22"/>
                <w:lang w:val="en-US"/>
              </w:rPr>
            </w:pPr>
            <w:r w:rsidRPr="00EB2AD9">
              <w:rPr>
                <w:rFonts w:ascii="Arial" w:hAnsi="Arial" w:cs="Arial"/>
                <w:bCs/>
                <w:i/>
                <w:iCs/>
                <w:noProof/>
                <w:color w:val="000000" w:themeColor="text1"/>
                <w:sz w:val="22"/>
                <w:lang w:val="en-US"/>
              </w:rPr>
              <w:t>The Board Secretary</w:t>
            </w:r>
          </w:p>
          <w:p w14:paraId="1193174F" w14:textId="77777777" w:rsidR="00974E64" w:rsidRPr="00EB2AD9" w:rsidRDefault="00974E64" w:rsidP="00974E64">
            <w:pPr>
              <w:spacing w:line="240" w:lineRule="auto"/>
              <w:jc w:val="both"/>
              <w:rPr>
                <w:rFonts w:ascii="Arial" w:hAnsi="Arial" w:cs="Arial"/>
                <w:i/>
                <w:iCs/>
                <w:noProof/>
                <w:sz w:val="22"/>
              </w:rPr>
            </w:pPr>
            <w:r w:rsidRPr="00EB2AD9">
              <w:rPr>
                <w:rFonts w:ascii="Arial" w:hAnsi="Arial" w:cs="Arial"/>
                <w:i/>
                <w:iCs/>
                <w:noProof/>
                <w:sz w:val="22"/>
              </w:rPr>
              <w:t>ТУЗ үйл ажиллагаагаа хэвийн явуулах, хувьцаа эзэмшигчдийн хурал, төлөөлөн удирдах зөвлөл, гүйцэтгэх захирал болон бусад оролцогч талуудын хоорондын үйл ажиллагааны уялдааг хангах зорилгоор ТУЗ-д шууд хариуцлага хүлээх нарийн бичгийн даргыг томилох үүрэгтэй. ТУЗ-ийн нарийн бичгийн дарга компанийн засаглалын чиглэлээр сургалтад хамрагдаж гэрчилгээ авсан байх шаардлагатай бөгөөд ТУЗ-ийн даргын санал болгосноор ТУЗ томилдог.</w:t>
            </w:r>
          </w:p>
          <w:p w14:paraId="52F1E6F9" w14:textId="77777777" w:rsidR="00974E64" w:rsidRPr="00EB2AD9" w:rsidRDefault="00974E64" w:rsidP="00974E64">
            <w:pPr>
              <w:spacing w:line="240" w:lineRule="auto"/>
              <w:jc w:val="both"/>
              <w:rPr>
                <w:rFonts w:ascii="Arial" w:hAnsi="Arial" w:cs="Arial"/>
                <w:i/>
                <w:iCs/>
                <w:noProof/>
                <w:sz w:val="22"/>
                <w:lang w:val="en-US"/>
              </w:rPr>
            </w:pPr>
            <w:r w:rsidRPr="00EB2AD9">
              <w:rPr>
                <w:rFonts w:ascii="Arial" w:hAnsi="Arial" w:cs="Arial"/>
                <w:i/>
                <w:iCs/>
                <w:noProof/>
                <w:sz w:val="22"/>
              </w:rPr>
              <w:t>The Board is responsible for appointing a secretary who is directly responsible for ensuring smooth operations and coordination between shareholders' meetings, the Board, the executive director, and other stakeholders. The Board secretary must be certified in corporate governance and is appointed by the Board at the recommendation of the chairman of the Board</w:t>
            </w:r>
            <w:r w:rsidRPr="00EB2AD9">
              <w:rPr>
                <w:rFonts w:ascii="Arial" w:hAnsi="Arial" w:cs="Arial"/>
                <w:i/>
                <w:iCs/>
                <w:noProof/>
                <w:sz w:val="22"/>
                <w:lang w:val="en-US"/>
              </w:rPr>
              <w:t>.</w:t>
            </w:r>
          </w:p>
          <w:p w14:paraId="448C2B3A" w14:textId="2536BDEB" w:rsidR="00974E64" w:rsidRPr="00EB2AD9" w:rsidRDefault="00974E64" w:rsidP="00974E64">
            <w:pPr>
              <w:spacing w:line="240" w:lineRule="auto"/>
              <w:jc w:val="both"/>
              <w:rPr>
                <w:rFonts w:ascii="Arial" w:eastAsia="Times New Roman" w:hAnsi="Arial" w:cs="Arial"/>
                <w:i/>
                <w:iCs/>
                <w:color w:val="000000"/>
                <w:sz w:val="22"/>
                <w:lang w:eastAsia="mn-MN"/>
              </w:rPr>
            </w:pPr>
            <w:r w:rsidRPr="00EB2AD9">
              <w:rPr>
                <w:rFonts w:ascii="Arial" w:hAnsi="Arial" w:cs="Arial"/>
                <w:i/>
                <w:iCs/>
                <w:noProof/>
                <w:sz w:val="22"/>
              </w:rPr>
              <w:t>A new appointee assumed the position in May 2023, and there have been no changes in the first half of 2024.</w:t>
            </w:r>
          </w:p>
        </w:tc>
      </w:tr>
      <w:tr w:rsidR="00974E64" w:rsidRPr="00EB2AD9" w14:paraId="001A0F7F" w14:textId="77777777" w:rsidTr="006A4F5F">
        <w:trPr>
          <w:trHeight w:val="17"/>
        </w:trPr>
        <w:tc>
          <w:tcPr>
            <w:tcW w:w="81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07DE3AB9" w14:textId="42C65318" w:rsidR="00974E64" w:rsidRPr="00EB2AD9" w:rsidRDefault="00974E64" w:rsidP="00974E64">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lastRenderedPageBreak/>
              <w:t>7.</w:t>
            </w:r>
          </w:p>
        </w:tc>
        <w:tc>
          <w:tcPr>
            <w:tcW w:w="9900" w:type="dxa"/>
            <w:gridSpan w:val="3"/>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37F923C" w14:textId="11DB3670" w:rsidR="00974E64" w:rsidRPr="00EB2AD9" w:rsidRDefault="00974E64" w:rsidP="00974E64">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Information on the report of activities carried out by the issuer in the field of social responsibility during the reporting period</w:t>
            </w:r>
          </w:p>
        </w:tc>
      </w:tr>
      <w:tr w:rsidR="00974E64" w:rsidRPr="00EB2AD9" w14:paraId="640ACD71" w14:textId="77777777" w:rsidTr="00883E67">
        <w:trPr>
          <w:trHeight w:val="53"/>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8385B5" w14:textId="77777777" w:rsidR="00974E64" w:rsidRPr="00EB2AD9" w:rsidRDefault="00974E64" w:rsidP="00974E64">
            <w:pPr>
              <w:spacing w:after="0" w:line="240" w:lineRule="auto"/>
              <w:rPr>
                <w:rFonts w:ascii="Arial" w:eastAsia="Times New Roman" w:hAnsi="Arial" w:cs="Arial"/>
                <w:i/>
                <w:iCs/>
                <w:color w:val="000000"/>
                <w:sz w:val="22"/>
                <w:lang w:eastAsia="mn-MN"/>
              </w:rPr>
            </w:pPr>
          </w:p>
          <w:p w14:paraId="620BD8B8" w14:textId="77777777" w:rsidR="00974E64" w:rsidRPr="00EB2AD9" w:rsidRDefault="00974E64" w:rsidP="00974E64">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 xml:space="preserve">In the first half of 2024, the board of directors resolved to distribute dividends from the company's 2023 net profit, convene a shareholders' meeting, approve regulations related to the trading of mining products and </w:t>
            </w:r>
            <w:r w:rsidRPr="00EB2AD9">
              <w:rPr>
                <w:rFonts w:ascii="Arial" w:eastAsia="Times New Roman" w:hAnsi="Arial" w:cs="Arial"/>
                <w:i/>
                <w:iCs/>
                <w:color w:val="000000"/>
                <w:sz w:val="22"/>
                <w:lang w:val="en-US" w:eastAsia="mn-MN"/>
              </w:rPr>
              <w:lastRenderedPageBreak/>
              <w:t>securities trading, grant membership to mining and securities trading brokers, revaluation and conclude assets. A total of 40 issues were discussed, resulting in 42 decisions. Out of these, 22 resolutions have been fully implemented, while 3 remain partially implemented. All obligations outlined in 14 notes have been 100% fulfilled.</w:t>
            </w:r>
          </w:p>
          <w:p w14:paraId="4E0D01CC" w14:textId="43F3C2C3" w:rsidR="00974E64" w:rsidRPr="00EB2AD9" w:rsidRDefault="00974E64" w:rsidP="00974E64">
            <w:pPr>
              <w:spacing w:after="0" w:line="240" w:lineRule="auto"/>
              <w:rPr>
                <w:rFonts w:ascii="Arial" w:eastAsia="Times New Roman" w:hAnsi="Arial" w:cs="Arial"/>
                <w:i/>
                <w:iCs/>
                <w:color w:val="000000"/>
                <w:sz w:val="22"/>
                <w:lang w:val="en-US" w:eastAsia="mn-MN"/>
              </w:rPr>
            </w:pPr>
          </w:p>
        </w:tc>
      </w:tr>
      <w:tr w:rsidR="00974E64" w:rsidRPr="00EB2AD9" w14:paraId="73192141" w14:textId="77777777" w:rsidTr="271ED4F3">
        <w:trPr>
          <w:trHeight w:val="53"/>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tcPr>
          <w:p w14:paraId="673EE662" w14:textId="598D2ABE" w:rsidR="00974E64" w:rsidRPr="00EB2AD9" w:rsidRDefault="00974E64" w:rsidP="00974E64">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lastRenderedPageBreak/>
              <w:t xml:space="preserve">Signature of the </w:t>
            </w:r>
            <w:proofErr w:type="spellStart"/>
            <w:r w:rsidRPr="00EB2AD9">
              <w:rPr>
                <w:rFonts w:ascii="Arial" w:eastAsia="Times New Roman" w:hAnsi="Arial" w:cs="Arial"/>
                <w:i/>
                <w:iCs/>
                <w:color w:val="000000"/>
                <w:sz w:val="22"/>
                <w:lang w:val="en-US" w:eastAsia="mn-MN"/>
              </w:rPr>
              <w:t>the</w:t>
            </w:r>
            <w:proofErr w:type="spellEnd"/>
            <w:r w:rsidRPr="00EB2AD9">
              <w:rPr>
                <w:rFonts w:ascii="Arial" w:eastAsia="Times New Roman" w:hAnsi="Arial" w:cs="Arial"/>
                <w:i/>
                <w:iCs/>
                <w:color w:val="000000"/>
                <w:sz w:val="22"/>
                <w:lang w:val="en-US" w:eastAsia="mn-MN"/>
              </w:rPr>
              <w:t xml:space="preserve"> person who confirmed the accuracy of the information, and the date:</w:t>
            </w:r>
          </w:p>
        </w:tc>
      </w:tr>
      <w:tr w:rsidR="00974E64" w:rsidRPr="00EB2AD9" w14:paraId="0DFDBA09" w14:textId="77777777" w:rsidTr="271ED4F3">
        <w:trPr>
          <w:trHeight w:val="53"/>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tcPr>
          <w:p w14:paraId="0EB78815" w14:textId="465F7B8B" w:rsidR="00974E64" w:rsidRPr="00EB2AD9" w:rsidRDefault="00974E64" w:rsidP="00974E64">
            <w:pPr>
              <w:spacing w:after="0" w:line="240" w:lineRule="auto"/>
              <w:rPr>
                <w:rFonts w:ascii="Arial" w:eastAsia="Times New Roman" w:hAnsi="Arial" w:cs="Arial"/>
                <w:i/>
                <w:iCs/>
                <w:color w:val="000000"/>
                <w:sz w:val="22"/>
                <w:lang w:val="en-US" w:eastAsia="mn-MN"/>
              </w:rPr>
            </w:pPr>
            <w:r w:rsidRPr="00EB2AD9">
              <w:rPr>
                <w:rFonts w:ascii="Arial" w:eastAsia="Times New Roman" w:hAnsi="Arial" w:cs="Arial"/>
                <w:i/>
                <w:iCs/>
                <w:color w:val="000000"/>
                <w:sz w:val="22"/>
                <w:lang w:val="en-US" w:eastAsia="mn-MN"/>
              </w:rPr>
              <w:t>Full name</w:t>
            </w:r>
            <w:r w:rsidRPr="00EB2AD9">
              <w:rPr>
                <w:rFonts w:ascii="Arial" w:eastAsia="Times New Roman" w:hAnsi="Arial" w:cs="Arial"/>
                <w:i/>
                <w:iCs/>
                <w:color w:val="000000"/>
                <w:sz w:val="22"/>
                <w:lang w:eastAsia="mn-MN"/>
              </w:rPr>
              <w:t xml:space="preserve">: </w:t>
            </w:r>
            <w:proofErr w:type="spellStart"/>
            <w:r w:rsidRPr="00EB2AD9">
              <w:rPr>
                <w:rFonts w:ascii="Arial" w:eastAsia="Times New Roman" w:hAnsi="Arial" w:cs="Arial"/>
                <w:i/>
                <w:iCs/>
                <w:color w:val="000000"/>
                <w:sz w:val="22"/>
                <w:lang w:val="en-US" w:eastAsia="mn-MN"/>
              </w:rPr>
              <w:t>Tsogtbayar</w:t>
            </w:r>
            <w:proofErr w:type="spellEnd"/>
            <w:r w:rsidRPr="00EB2AD9">
              <w:rPr>
                <w:rFonts w:ascii="Arial" w:eastAsia="Times New Roman" w:hAnsi="Arial" w:cs="Arial"/>
                <w:i/>
                <w:iCs/>
                <w:color w:val="000000"/>
                <w:sz w:val="22"/>
                <w:lang w:val="en-US" w:eastAsia="mn-MN"/>
              </w:rPr>
              <w:t>. J</w:t>
            </w:r>
          </w:p>
          <w:p w14:paraId="43782230" w14:textId="77777777" w:rsidR="00974E64" w:rsidRPr="00EB2AD9" w:rsidRDefault="00974E64" w:rsidP="00974E64">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Position</w:t>
            </w:r>
            <w:r w:rsidRPr="00EB2AD9">
              <w:rPr>
                <w:rFonts w:ascii="Arial" w:eastAsia="Times New Roman" w:hAnsi="Arial" w:cs="Arial"/>
                <w:i/>
                <w:iCs/>
                <w:color w:val="000000"/>
                <w:sz w:val="22"/>
                <w:lang w:eastAsia="mn-MN"/>
              </w:rPr>
              <w:t xml:space="preserve">: </w:t>
            </w:r>
            <w:r w:rsidRPr="00EB2AD9">
              <w:rPr>
                <w:rFonts w:ascii="Arial" w:eastAsia="Times New Roman" w:hAnsi="Arial" w:cs="Arial"/>
                <w:i/>
                <w:iCs/>
                <w:color w:val="000000"/>
                <w:sz w:val="22"/>
                <w:lang w:val="en-US" w:eastAsia="mn-MN"/>
              </w:rPr>
              <w:t>The interim executive director of “The Mongolian Stock Exchange”</w:t>
            </w:r>
          </w:p>
          <w:p w14:paraId="1AF94045" w14:textId="77777777" w:rsidR="00974E64" w:rsidRPr="00EB2AD9" w:rsidRDefault="00974E64" w:rsidP="00974E64">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val="en-US" w:eastAsia="mn-MN"/>
              </w:rPr>
              <w:t>Signature</w:t>
            </w:r>
            <w:r w:rsidRPr="00EB2AD9">
              <w:rPr>
                <w:rFonts w:ascii="Arial" w:eastAsia="Times New Roman" w:hAnsi="Arial" w:cs="Arial"/>
                <w:i/>
                <w:iCs/>
                <w:color w:val="000000"/>
                <w:sz w:val="22"/>
                <w:lang w:eastAsia="mn-MN"/>
              </w:rPr>
              <w:t>: …………………………………</w:t>
            </w:r>
            <w:proofErr w:type="gramStart"/>
            <w:r w:rsidRPr="00EB2AD9">
              <w:rPr>
                <w:rFonts w:ascii="Arial" w:eastAsia="Times New Roman" w:hAnsi="Arial" w:cs="Arial"/>
                <w:i/>
                <w:iCs/>
                <w:color w:val="000000"/>
                <w:sz w:val="22"/>
                <w:lang w:eastAsia="mn-MN"/>
              </w:rPr>
              <w:t>…..</w:t>
            </w:r>
            <w:proofErr w:type="gramEnd"/>
          </w:p>
          <w:p w14:paraId="7D99BD3D" w14:textId="7BF4F445" w:rsidR="00974E64" w:rsidRPr="00EB2AD9" w:rsidRDefault="00974E64" w:rsidP="00974E64">
            <w:pPr>
              <w:spacing w:after="0" w:line="240" w:lineRule="auto"/>
              <w:rPr>
                <w:rFonts w:ascii="Arial" w:eastAsia="Times New Roman" w:hAnsi="Arial" w:cs="Arial"/>
                <w:i/>
                <w:iCs/>
                <w:color w:val="000000"/>
                <w:sz w:val="22"/>
                <w:lang w:eastAsia="mn-MN"/>
              </w:rPr>
            </w:pPr>
            <w:r w:rsidRPr="00EB2AD9">
              <w:rPr>
                <w:rFonts w:ascii="Arial" w:eastAsia="Times New Roman" w:hAnsi="Arial" w:cs="Arial"/>
                <w:i/>
                <w:iCs/>
                <w:color w:val="000000"/>
                <w:sz w:val="22"/>
                <w:lang w:eastAsia="mn-MN"/>
              </w:rPr>
              <w:t>(</w:t>
            </w:r>
            <w:r w:rsidR="00AD0142">
              <w:rPr>
                <w:rFonts w:ascii="Arial" w:eastAsia="Times New Roman" w:hAnsi="Arial" w:cs="Arial"/>
                <w:i/>
                <w:iCs/>
                <w:color w:val="000000"/>
                <w:sz w:val="22"/>
                <w:lang w:eastAsia="mn-MN"/>
              </w:rPr>
              <w:t>Seal</w:t>
            </w:r>
            <w:r w:rsidRPr="00EB2AD9">
              <w:rPr>
                <w:rFonts w:ascii="Arial" w:eastAsia="Times New Roman" w:hAnsi="Arial" w:cs="Arial"/>
                <w:i/>
                <w:iCs/>
                <w:color w:val="000000"/>
                <w:sz w:val="22"/>
                <w:lang w:eastAsia="mn-MN"/>
              </w:rPr>
              <w:t>/</w:t>
            </w:r>
            <w:r w:rsidR="00AD0142">
              <w:rPr>
                <w:rFonts w:ascii="Arial" w:eastAsia="Times New Roman" w:hAnsi="Arial" w:cs="Arial"/>
                <w:i/>
                <w:iCs/>
                <w:color w:val="000000"/>
                <w:sz w:val="22"/>
                <w:lang w:eastAsia="mn-MN"/>
              </w:rPr>
              <w:t>Stamp</w:t>
            </w:r>
            <w:r w:rsidRPr="00EB2AD9">
              <w:rPr>
                <w:rFonts w:ascii="Arial" w:eastAsia="Times New Roman" w:hAnsi="Arial" w:cs="Arial"/>
                <w:i/>
                <w:iCs/>
                <w:color w:val="000000"/>
                <w:sz w:val="22"/>
                <w:lang w:eastAsia="mn-MN"/>
              </w:rPr>
              <w:t>)</w:t>
            </w:r>
          </w:p>
        </w:tc>
      </w:tr>
    </w:tbl>
    <w:p w14:paraId="2550E76E" w14:textId="77777777" w:rsidR="00811078" w:rsidRPr="00EB2AD9" w:rsidRDefault="00811078">
      <w:pPr>
        <w:rPr>
          <w:rFonts w:ascii="Arial" w:hAnsi="Arial" w:cs="Arial"/>
          <w:i/>
          <w:iCs/>
          <w:sz w:val="22"/>
        </w:rPr>
      </w:pPr>
    </w:p>
    <w:p w14:paraId="66039F58" w14:textId="77777777" w:rsidR="00700FE0" w:rsidRDefault="00700FE0" w:rsidP="00225395">
      <w:pPr>
        <w:jc w:val="right"/>
        <w:rPr>
          <w:rFonts w:ascii="Arial" w:hAnsi="Arial" w:cs="Arial"/>
          <w:sz w:val="22"/>
          <w:lang w:val="en-US"/>
        </w:rPr>
      </w:pPr>
    </w:p>
    <w:p w14:paraId="374611F7" w14:textId="77777777" w:rsidR="00700FE0" w:rsidRDefault="00700FE0" w:rsidP="00225395">
      <w:pPr>
        <w:jc w:val="right"/>
        <w:rPr>
          <w:rFonts w:ascii="Arial" w:hAnsi="Arial" w:cs="Arial"/>
          <w:sz w:val="22"/>
          <w:lang w:val="en-US"/>
        </w:rPr>
      </w:pPr>
    </w:p>
    <w:p w14:paraId="33FA2510" w14:textId="77777777" w:rsidR="00700FE0" w:rsidRDefault="00700FE0" w:rsidP="00225395">
      <w:pPr>
        <w:jc w:val="right"/>
        <w:rPr>
          <w:rFonts w:ascii="Arial" w:hAnsi="Arial" w:cs="Arial"/>
          <w:sz w:val="22"/>
          <w:lang w:val="en-US"/>
        </w:rPr>
      </w:pPr>
    </w:p>
    <w:p w14:paraId="4AB368FC" w14:textId="77777777" w:rsidR="00700FE0" w:rsidRDefault="00700FE0" w:rsidP="00225395">
      <w:pPr>
        <w:jc w:val="right"/>
        <w:rPr>
          <w:rFonts w:ascii="Arial" w:hAnsi="Arial" w:cs="Arial"/>
          <w:sz w:val="22"/>
          <w:lang w:val="en-US"/>
        </w:rPr>
      </w:pPr>
    </w:p>
    <w:p w14:paraId="357695D9" w14:textId="77777777" w:rsidR="00700FE0" w:rsidRDefault="00700FE0" w:rsidP="00225395">
      <w:pPr>
        <w:jc w:val="right"/>
        <w:rPr>
          <w:rFonts w:ascii="Arial" w:hAnsi="Arial" w:cs="Arial"/>
          <w:sz w:val="22"/>
          <w:lang w:val="en-US"/>
        </w:rPr>
      </w:pPr>
    </w:p>
    <w:p w14:paraId="6838D513" w14:textId="77777777" w:rsidR="00700FE0" w:rsidRDefault="00700FE0" w:rsidP="00225395">
      <w:pPr>
        <w:jc w:val="right"/>
        <w:rPr>
          <w:rFonts w:ascii="Arial" w:hAnsi="Arial" w:cs="Arial"/>
          <w:sz w:val="22"/>
          <w:lang w:val="en-US"/>
        </w:rPr>
      </w:pPr>
    </w:p>
    <w:p w14:paraId="7E8FD37C" w14:textId="77777777" w:rsidR="00700FE0" w:rsidRDefault="00700FE0" w:rsidP="00225395">
      <w:pPr>
        <w:jc w:val="right"/>
        <w:rPr>
          <w:rFonts w:ascii="Arial" w:hAnsi="Arial" w:cs="Arial"/>
          <w:sz w:val="22"/>
          <w:lang w:val="en-US"/>
        </w:rPr>
      </w:pPr>
    </w:p>
    <w:p w14:paraId="2235BFFE" w14:textId="77777777" w:rsidR="00700FE0" w:rsidRDefault="00700FE0" w:rsidP="00225395">
      <w:pPr>
        <w:jc w:val="right"/>
        <w:rPr>
          <w:rFonts w:ascii="Arial" w:hAnsi="Arial" w:cs="Arial"/>
          <w:sz w:val="22"/>
          <w:lang w:val="en-US"/>
        </w:rPr>
      </w:pPr>
    </w:p>
    <w:p w14:paraId="159C2D8E" w14:textId="77777777" w:rsidR="00700FE0" w:rsidRDefault="00700FE0" w:rsidP="00225395">
      <w:pPr>
        <w:jc w:val="right"/>
        <w:rPr>
          <w:rFonts w:ascii="Arial" w:hAnsi="Arial" w:cs="Arial"/>
          <w:sz w:val="22"/>
          <w:lang w:val="en-US"/>
        </w:rPr>
      </w:pPr>
    </w:p>
    <w:p w14:paraId="5CDA6BF2" w14:textId="77777777" w:rsidR="00700FE0" w:rsidRDefault="00700FE0" w:rsidP="00225395">
      <w:pPr>
        <w:jc w:val="right"/>
        <w:rPr>
          <w:rFonts w:ascii="Arial" w:hAnsi="Arial" w:cs="Arial"/>
          <w:sz w:val="22"/>
          <w:lang w:val="en-US"/>
        </w:rPr>
      </w:pPr>
    </w:p>
    <w:p w14:paraId="480DB8C5" w14:textId="77777777" w:rsidR="00700FE0" w:rsidRDefault="00700FE0" w:rsidP="00225395">
      <w:pPr>
        <w:jc w:val="right"/>
        <w:rPr>
          <w:rFonts w:ascii="Arial" w:hAnsi="Arial" w:cs="Arial"/>
          <w:sz w:val="22"/>
          <w:lang w:val="en-US"/>
        </w:rPr>
      </w:pPr>
    </w:p>
    <w:p w14:paraId="40CDB038" w14:textId="77777777" w:rsidR="00700FE0" w:rsidRDefault="00700FE0" w:rsidP="00225395">
      <w:pPr>
        <w:jc w:val="right"/>
        <w:rPr>
          <w:rFonts w:ascii="Arial" w:hAnsi="Arial" w:cs="Arial"/>
          <w:sz w:val="22"/>
          <w:lang w:val="en-US"/>
        </w:rPr>
      </w:pPr>
    </w:p>
    <w:p w14:paraId="2485BD39" w14:textId="77777777" w:rsidR="00700FE0" w:rsidRDefault="00700FE0" w:rsidP="00225395">
      <w:pPr>
        <w:jc w:val="right"/>
        <w:rPr>
          <w:rFonts w:ascii="Arial" w:hAnsi="Arial" w:cs="Arial"/>
          <w:sz w:val="22"/>
          <w:lang w:val="en-US"/>
        </w:rPr>
      </w:pPr>
    </w:p>
    <w:p w14:paraId="09807A19" w14:textId="77777777" w:rsidR="00700FE0" w:rsidRDefault="00700FE0" w:rsidP="00225395">
      <w:pPr>
        <w:jc w:val="right"/>
        <w:rPr>
          <w:rFonts w:ascii="Arial" w:hAnsi="Arial" w:cs="Arial"/>
          <w:sz w:val="22"/>
          <w:lang w:val="en-US"/>
        </w:rPr>
      </w:pPr>
    </w:p>
    <w:p w14:paraId="375E0F18" w14:textId="77777777" w:rsidR="00700FE0" w:rsidRDefault="00700FE0" w:rsidP="00225395">
      <w:pPr>
        <w:jc w:val="right"/>
        <w:rPr>
          <w:rFonts w:ascii="Arial" w:hAnsi="Arial" w:cs="Arial"/>
          <w:sz w:val="22"/>
          <w:lang w:val="en-US"/>
        </w:rPr>
      </w:pPr>
    </w:p>
    <w:p w14:paraId="7D44C17D" w14:textId="77777777" w:rsidR="00700FE0" w:rsidRDefault="00700FE0" w:rsidP="00225395">
      <w:pPr>
        <w:jc w:val="right"/>
        <w:rPr>
          <w:rFonts w:ascii="Arial" w:hAnsi="Arial" w:cs="Arial"/>
          <w:sz w:val="22"/>
          <w:lang w:val="en-US"/>
        </w:rPr>
      </w:pPr>
    </w:p>
    <w:p w14:paraId="44901744" w14:textId="77777777" w:rsidR="00700FE0" w:rsidRDefault="00700FE0" w:rsidP="00225395">
      <w:pPr>
        <w:jc w:val="right"/>
        <w:rPr>
          <w:rFonts w:ascii="Arial" w:hAnsi="Arial" w:cs="Arial"/>
          <w:sz w:val="22"/>
          <w:lang w:val="en-US"/>
        </w:rPr>
      </w:pPr>
    </w:p>
    <w:p w14:paraId="3E91E63A" w14:textId="77777777" w:rsidR="00700FE0" w:rsidRDefault="00700FE0" w:rsidP="00225395">
      <w:pPr>
        <w:jc w:val="right"/>
        <w:rPr>
          <w:rFonts w:ascii="Arial" w:hAnsi="Arial" w:cs="Arial"/>
          <w:sz w:val="22"/>
          <w:lang w:val="en-US"/>
        </w:rPr>
      </w:pPr>
    </w:p>
    <w:p w14:paraId="155ED9E1" w14:textId="77777777" w:rsidR="00700FE0" w:rsidRDefault="00700FE0" w:rsidP="00225395">
      <w:pPr>
        <w:jc w:val="right"/>
        <w:rPr>
          <w:rFonts w:ascii="Arial" w:hAnsi="Arial" w:cs="Arial"/>
          <w:sz w:val="22"/>
          <w:lang w:val="en-US"/>
        </w:rPr>
      </w:pPr>
    </w:p>
    <w:p w14:paraId="1702274E" w14:textId="77777777" w:rsidR="00700FE0" w:rsidRDefault="00700FE0" w:rsidP="00225395">
      <w:pPr>
        <w:jc w:val="right"/>
        <w:rPr>
          <w:rFonts w:ascii="Arial" w:hAnsi="Arial" w:cs="Arial"/>
          <w:sz w:val="22"/>
          <w:lang w:val="en-US"/>
        </w:rPr>
      </w:pPr>
    </w:p>
    <w:p w14:paraId="54F2F3AE" w14:textId="77777777" w:rsidR="00700FE0" w:rsidRDefault="00700FE0" w:rsidP="00225395">
      <w:pPr>
        <w:jc w:val="right"/>
        <w:rPr>
          <w:rFonts w:ascii="Arial" w:hAnsi="Arial" w:cs="Arial"/>
          <w:sz w:val="22"/>
          <w:lang w:val="en-US"/>
        </w:rPr>
      </w:pPr>
    </w:p>
    <w:p w14:paraId="1B40F724" w14:textId="77777777" w:rsidR="00700FE0" w:rsidRDefault="00700FE0" w:rsidP="00225395">
      <w:pPr>
        <w:jc w:val="right"/>
        <w:rPr>
          <w:rFonts w:ascii="Arial" w:hAnsi="Arial" w:cs="Arial"/>
          <w:sz w:val="22"/>
          <w:lang w:val="en-US"/>
        </w:rPr>
      </w:pPr>
    </w:p>
    <w:p w14:paraId="46FAB0BD" w14:textId="77777777" w:rsidR="00700FE0" w:rsidRDefault="00700FE0" w:rsidP="00225395">
      <w:pPr>
        <w:jc w:val="right"/>
        <w:rPr>
          <w:rFonts w:ascii="Arial" w:hAnsi="Arial" w:cs="Arial"/>
          <w:sz w:val="22"/>
          <w:lang w:val="en-US"/>
        </w:rPr>
      </w:pPr>
    </w:p>
    <w:p w14:paraId="34F0E5B5" w14:textId="77777777" w:rsidR="00700FE0" w:rsidRDefault="00700FE0" w:rsidP="00225395">
      <w:pPr>
        <w:jc w:val="right"/>
        <w:rPr>
          <w:rFonts w:ascii="Arial" w:hAnsi="Arial" w:cs="Arial"/>
          <w:sz w:val="22"/>
          <w:lang w:val="en-US"/>
        </w:rPr>
      </w:pPr>
    </w:p>
    <w:p w14:paraId="2AA0743D" w14:textId="77777777" w:rsidR="00700FE0" w:rsidRDefault="00700FE0" w:rsidP="00225395">
      <w:pPr>
        <w:jc w:val="right"/>
        <w:rPr>
          <w:rFonts w:ascii="Arial" w:hAnsi="Arial" w:cs="Arial"/>
          <w:sz w:val="22"/>
          <w:lang w:val="en-US"/>
        </w:rPr>
      </w:pPr>
    </w:p>
    <w:p w14:paraId="2F9C68D4" w14:textId="77777777" w:rsidR="00700FE0" w:rsidRDefault="00700FE0" w:rsidP="00225395">
      <w:pPr>
        <w:jc w:val="right"/>
        <w:rPr>
          <w:rFonts w:ascii="Arial" w:hAnsi="Arial" w:cs="Arial"/>
          <w:sz w:val="22"/>
          <w:lang w:val="en-US"/>
        </w:rPr>
      </w:pPr>
    </w:p>
    <w:p w14:paraId="36CC4A30" w14:textId="689823A5" w:rsidR="00225395" w:rsidRPr="00EB2AD9" w:rsidRDefault="00225395" w:rsidP="00225395">
      <w:pPr>
        <w:jc w:val="right"/>
        <w:rPr>
          <w:rFonts w:ascii="Arial" w:hAnsi="Arial" w:cs="Arial"/>
          <w:sz w:val="22"/>
        </w:rPr>
      </w:pPr>
      <w:r w:rsidRPr="00EB2AD9">
        <w:rPr>
          <w:rFonts w:ascii="Arial" w:hAnsi="Arial" w:cs="Arial"/>
          <w:sz w:val="22"/>
          <w:lang w:val="en-US"/>
        </w:rPr>
        <w:lastRenderedPageBreak/>
        <w:t>Appendix</w:t>
      </w:r>
      <w:r w:rsidRPr="00EB2AD9">
        <w:rPr>
          <w:rFonts w:ascii="Arial" w:hAnsi="Arial" w:cs="Arial"/>
          <w:sz w:val="22"/>
        </w:rPr>
        <w:t xml:space="preserve"> 1</w:t>
      </w:r>
    </w:p>
    <w:p w14:paraId="5646E4BC" w14:textId="77777777" w:rsidR="00225395" w:rsidRPr="00EB2AD9" w:rsidRDefault="00225395" w:rsidP="00225395">
      <w:pPr>
        <w:jc w:val="center"/>
        <w:rPr>
          <w:rFonts w:ascii="Arial" w:hAnsi="Arial" w:cs="Arial"/>
          <w:sz w:val="22"/>
        </w:rPr>
      </w:pPr>
      <w:r w:rsidRPr="00EB2AD9">
        <w:rPr>
          <w:rFonts w:ascii="Arial" w:hAnsi="Arial" w:cs="Arial"/>
          <w:sz w:val="22"/>
        </w:rPr>
        <w:t>“Mongolian stock exchange” JSC</w:t>
      </w:r>
    </w:p>
    <w:p w14:paraId="78C1DD34" w14:textId="77777777" w:rsidR="00225395" w:rsidRPr="00EB2AD9" w:rsidRDefault="00225395" w:rsidP="00225395">
      <w:pPr>
        <w:jc w:val="center"/>
        <w:rPr>
          <w:rFonts w:ascii="Arial" w:hAnsi="Arial" w:cs="Arial"/>
          <w:sz w:val="22"/>
        </w:rPr>
      </w:pPr>
      <w:r w:rsidRPr="00EB2AD9">
        <w:rPr>
          <w:rFonts w:ascii="Arial" w:hAnsi="Arial" w:cs="Arial"/>
          <w:noProof/>
          <w:sz w:val="22"/>
        </w:rPr>
        <w:drawing>
          <wp:inline distT="0" distB="0" distL="0" distR="0" wp14:anchorId="0223CFAF" wp14:editId="32E31D81">
            <wp:extent cx="930798" cy="1059183"/>
            <wp:effectExtent l="0" t="0" r="3175" b="7620"/>
            <wp:docPr id="9" name="Picture 8">
              <a:extLst xmlns:a="http://schemas.openxmlformats.org/drawingml/2006/main">
                <a:ext uri="{FF2B5EF4-FFF2-40B4-BE49-F238E27FC236}">
                  <a16:creationId xmlns:a16="http://schemas.microsoft.com/office/drawing/2014/main" id="{734D5E4A-D3FE-364E-63E0-D61C765EC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34D5E4A-D3FE-364E-63E0-D61C765EC7B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798" cy="1059183"/>
                    </a:xfrm>
                    <a:prstGeom prst="rect">
                      <a:avLst/>
                    </a:prstGeom>
                  </pic:spPr>
                </pic:pic>
              </a:graphicData>
            </a:graphic>
          </wp:inline>
        </w:drawing>
      </w:r>
    </w:p>
    <w:p w14:paraId="40501D16" w14:textId="77777777" w:rsidR="00225395" w:rsidRPr="00EB2AD9" w:rsidRDefault="00225395" w:rsidP="00225395">
      <w:pPr>
        <w:jc w:val="center"/>
        <w:rPr>
          <w:rFonts w:ascii="Arial" w:hAnsi="Arial" w:cs="Arial"/>
          <w:sz w:val="22"/>
        </w:rPr>
      </w:pPr>
    </w:p>
    <w:p w14:paraId="5C789EF2" w14:textId="7F4BEE9A" w:rsidR="00225395" w:rsidRPr="00EB2AD9" w:rsidRDefault="00225395" w:rsidP="00225395">
      <w:pPr>
        <w:jc w:val="center"/>
        <w:rPr>
          <w:rFonts w:ascii="Arial" w:hAnsi="Arial" w:cs="Arial"/>
          <w:sz w:val="22"/>
        </w:rPr>
      </w:pPr>
      <w:r w:rsidRPr="00EB2AD9">
        <w:rPr>
          <w:rFonts w:ascii="Arial" w:hAnsi="Arial" w:cs="Arial"/>
          <w:sz w:val="22"/>
        </w:rPr>
        <w:t xml:space="preserve">Report on the expenditure of funds </w:t>
      </w:r>
      <w:r w:rsidR="00700FE0">
        <w:rPr>
          <w:rFonts w:ascii="Arial" w:hAnsi="Arial" w:cs="Arial"/>
          <w:sz w:val="22"/>
          <w:lang w:val="en-US"/>
        </w:rPr>
        <w:t>raised</w:t>
      </w:r>
      <w:r w:rsidRPr="00EB2AD9">
        <w:rPr>
          <w:rFonts w:ascii="Arial" w:hAnsi="Arial" w:cs="Arial"/>
          <w:sz w:val="22"/>
        </w:rPr>
        <w:t>from the public</w:t>
      </w:r>
    </w:p>
    <w:p w14:paraId="1A768E78" w14:textId="77777777" w:rsidR="00225395" w:rsidRPr="00EB2AD9" w:rsidRDefault="00225395" w:rsidP="00225395">
      <w:pPr>
        <w:spacing w:after="0"/>
        <w:ind w:firstLine="720"/>
        <w:jc w:val="both"/>
        <w:rPr>
          <w:rFonts w:ascii="Arial" w:hAnsi="Arial" w:cs="Arial"/>
          <w:sz w:val="22"/>
        </w:rPr>
      </w:pPr>
      <w:r w:rsidRPr="00EB2AD9">
        <w:rPr>
          <w:rFonts w:ascii="Arial" w:hAnsi="Arial" w:cs="Arial"/>
          <w:sz w:val="22"/>
        </w:rPr>
        <w:tab/>
      </w:r>
    </w:p>
    <w:p w14:paraId="5144624A" w14:textId="77777777" w:rsidR="00225395" w:rsidRPr="00EB2AD9" w:rsidRDefault="00225395" w:rsidP="00225395">
      <w:pPr>
        <w:spacing w:after="0" w:line="276" w:lineRule="auto"/>
        <w:ind w:firstLine="720"/>
        <w:jc w:val="both"/>
        <w:rPr>
          <w:rFonts w:ascii="Arial" w:hAnsi="Arial" w:cs="Arial"/>
          <w:sz w:val="22"/>
        </w:rPr>
      </w:pPr>
      <w:r w:rsidRPr="00EB2AD9">
        <w:rPr>
          <w:rFonts w:ascii="Arial" w:hAnsi="Arial" w:cs="Arial"/>
          <w:sz w:val="22"/>
        </w:rPr>
        <w:t>"Mongolian Stock Exchange" JSC, in accordance with the relevant decisions of the State Parliament and the Government, raised a total of 11.9 billion MNT by offering additional shares to the public in December 2022.</w:t>
      </w:r>
    </w:p>
    <w:p w14:paraId="477BA2C6" w14:textId="77777777" w:rsidR="00225395" w:rsidRPr="00EB2AD9" w:rsidRDefault="00225395" w:rsidP="00225395">
      <w:pPr>
        <w:spacing w:after="0" w:line="276" w:lineRule="auto"/>
        <w:ind w:firstLine="720"/>
        <w:jc w:val="both"/>
        <w:rPr>
          <w:rFonts w:ascii="Arial" w:hAnsi="Arial" w:cs="Arial"/>
          <w:sz w:val="22"/>
        </w:rPr>
      </w:pPr>
      <w:r w:rsidRPr="00EB2AD9">
        <w:rPr>
          <w:rFonts w:ascii="Arial" w:hAnsi="Arial" w:cs="Arial"/>
          <w:sz w:val="22"/>
        </w:rPr>
        <w:t>In accordance with the company's medium-term business plan, as stated in the securities prospectus, it is planned to spend the funds collected as follows.</w:t>
      </w:r>
    </w:p>
    <w:p w14:paraId="6D20635D" w14:textId="77777777" w:rsidR="00225395" w:rsidRPr="00EB2AD9" w:rsidRDefault="00225395" w:rsidP="00225395">
      <w:pPr>
        <w:spacing w:after="0"/>
        <w:ind w:firstLine="720"/>
        <w:jc w:val="both"/>
        <w:rPr>
          <w:rFonts w:ascii="Arial" w:hAnsi="Arial" w:cs="Arial"/>
          <w:sz w:val="22"/>
        </w:rPr>
      </w:pPr>
    </w:p>
    <w:tbl>
      <w:tblPr>
        <w:tblW w:w="0" w:type="auto"/>
        <w:tblInd w:w="113" w:type="dxa"/>
        <w:tblLayout w:type="fixed"/>
        <w:tblCellMar>
          <w:left w:w="0" w:type="dxa"/>
          <w:right w:w="0" w:type="dxa"/>
        </w:tblCellMar>
        <w:tblLook w:val="01E0" w:firstRow="1" w:lastRow="1" w:firstColumn="1" w:lastColumn="1" w:noHBand="0" w:noVBand="0"/>
      </w:tblPr>
      <w:tblGrid>
        <w:gridCol w:w="543"/>
        <w:gridCol w:w="8174"/>
        <w:gridCol w:w="1107"/>
      </w:tblGrid>
      <w:tr w:rsidR="00225395" w:rsidRPr="00EB2AD9" w14:paraId="2C1FF706" w14:textId="77777777" w:rsidTr="00FF2A33">
        <w:trPr>
          <w:trHeight w:val="287"/>
        </w:trPr>
        <w:tc>
          <w:tcPr>
            <w:tcW w:w="543" w:type="dxa"/>
            <w:tcBorders>
              <w:bottom w:val="single" w:sz="4" w:space="0" w:color="5B9BD4"/>
            </w:tcBorders>
            <w:shd w:val="clear" w:color="auto" w:fill="2D74B5"/>
          </w:tcPr>
          <w:p w14:paraId="0E90D409" w14:textId="77777777" w:rsidR="00225395" w:rsidRPr="00EB2AD9" w:rsidRDefault="00225395" w:rsidP="00FF2A33">
            <w:pPr>
              <w:pStyle w:val="TableParagraph"/>
              <w:spacing w:before="1"/>
              <w:ind w:left="180"/>
              <w:rPr>
                <w:rFonts w:ascii="Arial" w:hAnsi="Arial" w:cs="Arial"/>
              </w:rPr>
            </w:pPr>
            <w:r w:rsidRPr="00EB2AD9">
              <w:rPr>
                <w:rFonts w:ascii="Arial" w:hAnsi="Arial" w:cs="Arial"/>
                <w:color w:val="FFFFFF"/>
                <w:w w:val="108"/>
              </w:rPr>
              <w:t>№</w:t>
            </w:r>
          </w:p>
        </w:tc>
        <w:tc>
          <w:tcPr>
            <w:tcW w:w="8174" w:type="dxa"/>
            <w:tcBorders>
              <w:bottom w:val="single" w:sz="4" w:space="0" w:color="5B9BD4"/>
            </w:tcBorders>
            <w:shd w:val="clear" w:color="auto" w:fill="2D74B5"/>
          </w:tcPr>
          <w:p w14:paraId="65230A73" w14:textId="77777777" w:rsidR="00225395" w:rsidRPr="00EB2AD9" w:rsidRDefault="00225395" w:rsidP="00FF2A33">
            <w:pPr>
              <w:pStyle w:val="TableParagraph"/>
              <w:spacing w:line="239" w:lineRule="exact"/>
              <w:ind w:left="136"/>
              <w:rPr>
                <w:rFonts w:ascii="Arial" w:hAnsi="Arial" w:cs="Arial"/>
                <w:b/>
              </w:rPr>
            </w:pPr>
            <w:r w:rsidRPr="00EB2AD9">
              <w:rPr>
                <w:rFonts w:ascii="Arial" w:hAnsi="Arial" w:cs="Arial"/>
                <w:b/>
                <w:color w:val="FFFFFF"/>
              </w:rPr>
              <w:t>Disbursement plan of funds collected</w:t>
            </w:r>
          </w:p>
        </w:tc>
        <w:tc>
          <w:tcPr>
            <w:tcW w:w="1107" w:type="dxa"/>
            <w:tcBorders>
              <w:bottom w:val="single" w:sz="4" w:space="0" w:color="5B9BD4"/>
            </w:tcBorders>
            <w:shd w:val="clear" w:color="auto" w:fill="2D74B5"/>
          </w:tcPr>
          <w:p w14:paraId="0C54CBED" w14:textId="77777777" w:rsidR="00225395" w:rsidRPr="00EB2AD9" w:rsidRDefault="00225395" w:rsidP="00FF2A33">
            <w:pPr>
              <w:pStyle w:val="TableParagraph"/>
              <w:rPr>
                <w:rFonts w:ascii="Arial" w:hAnsi="Arial" w:cs="Arial"/>
              </w:rPr>
            </w:pPr>
          </w:p>
        </w:tc>
      </w:tr>
      <w:tr w:rsidR="00225395" w:rsidRPr="00EB2AD9" w14:paraId="0E46CDEE" w14:textId="77777777" w:rsidTr="00FF2A33">
        <w:trPr>
          <w:trHeight w:val="287"/>
        </w:trPr>
        <w:tc>
          <w:tcPr>
            <w:tcW w:w="543" w:type="dxa"/>
            <w:tcBorders>
              <w:top w:val="single" w:sz="4" w:space="0" w:color="5B9BD4"/>
              <w:bottom w:val="single" w:sz="4" w:space="0" w:color="2D74B5"/>
            </w:tcBorders>
          </w:tcPr>
          <w:p w14:paraId="6154764C" w14:textId="77777777" w:rsidR="00225395" w:rsidRPr="00EB2AD9" w:rsidRDefault="00225395" w:rsidP="00FF2A33">
            <w:pPr>
              <w:pStyle w:val="TableParagraph"/>
              <w:spacing w:before="24"/>
              <w:ind w:left="235"/>
              <w:rPr>
                <w:rFonts w:ascii="Arial" w:hAnsi="Arial" w:cs="Arial"/>
              </w:rPr>
            </w:pPr>
            <w:r w:rsidRPr="00EB2AD9">
              <w:rPr>
                <w:rFonts w:ascii="Arial" w:hAnsi="Arial" w:cs="Arial"/>
              </w:rPr>
              <w:t>1</w:t>
            </w:r>
          </w:p>
        </w:tc>
        <w:tc>
          <w:tcPr>
            <w:tcW w:w="8174" w:type="dxa"/>
            <w:tcBorders>
              <w:top w:val="single" w:sz="4" w:space="0" w:color="5B9BD4"/>
              <w:bottom w:val="single" w:sz="4" w:space="0" w:color="2D74B5"/>
            </w:tcBorders>
          </w:tcPr>
          <w:p w14:paraId="004B28A4" w14:textId="77777777" w:rsidR="00225395" w:rsidRPr="00EB2AD9" w:rsidRDefault="00225395" w:rsidP="00FF2A33">
            <w:pPr>
              <w:pStyle w:val="TableParagraph"/>
              <w:ind w:left="136"/>
              <w:rPr>
                <w:rFonts w:ascii="Arial" w:hAnsi="Arial" w:cs="Arial"/>
                <w:lang w:val="en-US"/>
              </w:rPr>
            </w:pPr>
            <w:r w:rsidRPr="00EB2AD9">
              <w:rPr>
                <w:rFonts w:ascii="Arial" w:hAnsi="Arial" w:cs="Arial"/>
                <w:lang w:val="en-US"/>
              </w:rPr>
              <w:t>Trading system improvement</w:t>
            </w:r>
          </w:p>
        </w:tc>
        <w:tc>
          <w:tcPr>
            <w:tcW w:w="1107" w:type="dxa"/>
            <w:tcBorders>
              <w:top w:val="single" w:sz="4" w:space="0" w:color="5B9BD4"/>
              <w:bottom w:val="single" w:sz="4" w:space="0" w:color="2D74B5"/>
            </w:tcBorders>
          </w:tcPr>
          <w:p w14:paraId="5E62C5B0" w14:textId="77777777" w:rsidR="00225395" w:rsidRPr="00EB2AD9" w:rsidRDefault="00225395" w:rsidP="00FF2A33">
            <w:pPr>
              <w:pStyle w:val="TableParagraph"/>
              <w:ind w:right="282"/>
              <w:jc w:val="right"/>
              <w:rPr>
                <w:rFonts w:ascii="Arial" w:hAnsi="Arial" w:cs="Arial"/>
              </w:rPr>
            </w:pPr>
            <w:r w:rsidRPr="00EB2AD9">
              <w:rPr>
                <w:rFonts w:ascii="Arial" w:hAnsi="Arial" w:cs="Arial"/>
              </w:rPr>
              <w:t>63.7%</w:t>
            </w:r>
          </w:p>
        </w:tc>
      </w:tr>
      <w:tr w:rsidR="00225395" w:rsidRPr="00EB2AD9" w14:paraId="37B56898" w14:textId="77777777" w:rsidTr="00FF2A33">
        <w:trPr>
          <w:trHeight w:val="287"/>
        </w:trPr>
        <w:tc>
          <w:tcPr>
            <w:tcW w:w="543" w:type="dxa"/>
            <w:tcBorders>
              <w:top w:val="single" w:sz="4" w:space="0" w:color="2D74B5"/>
              <w:bottom w:val="single" w:sz="4" w:space="0" w:color="2D74B5"/>
            </w:tcBorders>
          </w:tcPr>
          <w:p w14:paraId="4D56CEEB" w14:textId="77777777" w:rsidR="00225395" w:rsidRPr="00EB2AD9" w:rsidRDefault="00225395" w:rsidP="00FF2A33">
            <w:pPr>
              <w:pStyle w:val="TableParagraph"/>
              <w:spacing w:before="24"/>
              <w:ind w:left="235"/>
              <w:rPr>
                <w:rFonts w:ascii="Arial" w:hAnsi="Arial" w:cs="Arial"/>
              </w:rPr>
            </w:pPr>
            <w:r w:rsidRPr="00EB2AD9">
              <w:rPr>
                <w:rFonts w:ascii="Arial" w:hAnsi="Arial" w:cs="Arial"/>
              </w:rPr>
              <w:t>2</w:t>
            </w:r>
          </w:p>
        </w:tc>
        <w:tc>
          <w:tcPr>
            <w:tcW w:w="8174" w:type="dxa"/>
            <w:tcBorders>
              <w:top w:val="single" w:sz="4" w:space="0" w:color="2D74B5"/>
              <w:bottom w:val="single" w:sz="4" w:space="0" w:color="2D74B5"/>
            </w:tcBorders>
          </w:tcPr>
          <w:p w14:paraId="164CF4B3" w14:textId="77777777" w:rsidR="00225395" w:rsidRPr="00EB2AD9" w:rsidRDefault="00225395" w:rsidP="00FF2A33">
            <w:pPr>
              <w:pStyle w:val="TableParagraph"/>
              <w:spacing w:before="3"/>
              <w:ind w:left="136"/>
              <w:rPr>
                <w:rFonts w:ascii="Arial" w:hAnsi="Arial" w:cs="Arial"/>
              </w:rPr>
            </w:pPr>
            <w:r w:rsidRPr="00EB2AD9">
              <w:rPr>
                <w:rFonts w:ascii="Arial" w:hAnsi="Arial" w:cs="Arial"/>
              </w:rPr>
              <w:t>Information technology security</w:t>
            </w:r>
          </w:p>
        </w:tc>
        <w:tc>
          <w:tcPr>
            <w:tcW w:w="1107" w:type="dxa"/>
            <w:tcBorders>
              <w:top w:val="single" w:sz="4" w:space="0" w:color="2D74B5"/>
              <w:bottom w:val="single" w:sz="4" w:space="0" w:color="2D74B5"/>
            </w:tcBorders>
          </w:tcPr>
          <w:p w14:paraId="21543D03" w14:textId="77777777" w:rsidR="00225395" w:rsidRPr="00EB2AD9" w:rsidRDefault="00225395" w:rsidP="00FF2A33">
            <w:pPr>
              <w:pStyle w:val="TableParagraph"/>
              <w:spacing w:before="3"/>
              <w:ind w:right="282"/>
              <w:jc w:val="right"/>
              <w:rPr>
                <w:rFonts w:ascii="Arial" w:hAnsi="Arial" w:cs="Arial"/>
              </w:rPr>
            </w:pPr>
            <w:r w:rsidRPr="00EB2AD9">
              <w:rPr>
                <w:rFonts w:ascii="Arial" w:hAnsi="Arial" w:cs="Arial"/>
              </w:rPr>
              <w:t>10.7%</w:t>
            </w:r>
          </w:p>
        </w:tc>
      </w:tr>
      <w:tr w:rsidR="00225395" w:rsidRPr="00EB2AD9" w14:paraId="06D69854" w14:textId="77777777" w:rsidTr="00FF2A33">
        <w:trPr>
          <w:trHeight w:val="287"/>
        </w:trPr>
        <w:tc>
          <w:tcPr>
            <w:tcW w:w="543" w:type="dxa"/>
            <w:tcBorders>
              <w:top w:val="single" w:sz="4" w:space="0" w:color="2D74B5"/>
              <w:bottom w:val="single" w:sz="4" w:space="0" w:color="2D74B5"/>
            </w:tcBorders>
          </w:tcPr>
          <w:p w14:paraId="457A5427" w14:textId="77777777" w:rsidR="00225395" w:rsidRPr="00EB2AD9" w:rsidRDefault="00225395" w:rsidP="00FF2A33">
            <w:pPr>
              <w:pStyle w:val="TableParagraph"/>
              <w:spacing w:before="24"/>
              <w:ind w:left="235"/>
              <w:rPr>
                <w:rFonts w:ascii="Arial" w:hAnsi="Arial" w:cs="Arial"/>
              </w:rPr>
            </w:pPr>
            <w:r w:rsidRPr="00EB2AD9">
              <w:rPr>
                <w:rFonts w:ascii="Arial" w:hAnsi="Arial" w:cs="Arial"/>
              </w:rPr>
              <w:t>3</w:t>
            </w:r>
          </w:p>
        </w:tc>
        <w:tc>
          <w:tcPr>
            <w:tcW w:w="8174" w:type="dxa"/>
            <w:tcBorders>
              <w:top w:val="single" w:sz="4" w:space="0" w:color="2D74B5"/>
              <w:bottom w:val="single" w:sz="4" w:space="0" w:color="2D74B5"/>
            </w:tcBorders>
          </w:tcPr>
          <w:p w14:paraId="00FB3A35" w14:textId="77777777" w:rsidR="00225395" w:rsidRPr="00EB2AD9" w:rsidRDefault="00225395" w:rsidP="00FF2A33">
            <w:pPr>
              <w:pStyle w:val="TableParagraph"/>
              <w:spacing w:before="3"/>
              <w:ind w:left="136"/>
              <w:rPr>
                <w:rFonts w:ascii="Arial" w:hAnsi="Arial" w:cs="Arial"/>
              </w:rPr>
            </w:pPr>
            <w:r w:rsidRPr="00EB2AD9">
              <w:rPr>
                <w:rFonts w:ascii="Arial" w:hAnsi="Arial" w:cs="Arial"/>
              </w:rPr>
              <w:t>Digitization of internal operations</w:t>
            </w:r>
          </w:p>
        </w:tc>
        <w:tc>
          <w:tcPr>
            <w:tcW w:w="1107" w:type="dxa"/>
            <w:tcBorders>
              <w:top w:val="single" w:sz="4" w:space="0" w:color="2D74B5"/>
              <w:bottom w:val="single" w:sz="4" w:space="0" w:color="2D74B5"/>
            </w:tcBorders>
          </w:tcPr>
          <w:p w14:paraId="40F4B528" w14:textId="77777777" w:rsidR="00225395" w:rsidRPr="00EB2AD9" w:rsidRDefault="00225395" w:rsidP="00FF2A33">
            <w:pPr>
              <w:pStyle w:val="TableParagraph"/>
              <w:spacing w:before="3"/>
              <w:ind w:left="282"/>
              <w:rPr>
                <w:rFonts w:ascii="Arial" w:hAnsi="Arial" w:cs="Arial"/>
              </w:rPr>
            </w:pPr>
            <w:r w:rsidRPr="00EB2AD9">
              <w:rPr>
                <w:rFonts w:ascii="Arial" w:hAnsi="Arial" w:cs="Arial"/>
              </w:rPr>
              <w:t>6.1%</w:t>
            </w:r>
          </w:p>
        </w:tc>
      </w:tr>
      <w:tr w:rsidR="00225395" w:rsidRPr="00EB2AD9" w14:paraId="6C6CE61D" w14:textId="77777777" w:rsidTr="00FF2A33">
        <w:trPr>
          <w:trHeight w:val="532"/>
        </w:trPr>
        <w:tc>
          <w:tcPr>
            <w:tcW w:w="543" w:type="dxa"/>
            <w:tcBorders>
              <w:top w:val="single" w:sz="4" w:space="0" w:color="2D74B5"/>
              <w:bottom w:val="single" w:sz="4" w:space="0" w:color="2D74B5"/>
            </w:tcBorders>
          </w:tcPr>
          <w:p w14:paraId="719E7075" w14:textId="77777777" w:rsidR="00225395" w:rsidRPr="00EB2AD9" w:rsidRDefault="00225395" w:rsidP="00FF2A33">
            <w:pPr>
              <w:pStyle w:val="TableParagraph"/>
              <w:spacing w:before="149"/>
              <w:ind w:left="235"/>
              <w:rPr>
                <w:rFonts w:ascii="Arial" w:hAnsi="Arial" w:cs="Arial"/>
              </w:rPr>
            </w:pPr>
            <w:r w:rsidRPr="00EB2AD9">
              <w:rPr>
                <w:rFonts w:ascii="Arial" w:hAnsi="Arial" w:cs="Arial"/>
              </w:rPr>
              <w:t>4</w:t>
            </w:r>
          </w:p>
        </w:tc>
        <w:tc>
          <w:tcPr>
            <w:tcW w:w="8174" w:type="dxa"/>
            <w:tcBorders>
              <w:top w:val="single" w:sz="4" w:space="0" w:color="2D74B5"/>
              <w:bottom w:val="single" w:sz="4" w:space="0" w:color="2D74B5"/>
            </w:tcBorders>
          </w:tcPr>
          <w:p w14:paraId="664D1D35" w14:textId="77777777" w:rsidR="00225395" w:rsidRPr="00EB2AD9" w:rsidRDefault="00225395" w:rsidP="00FF2A33">
            <w:pPr>
              <w:pStyle w:val="TableParagraph"/>
              <w:spacing w:before="3" w:line="244" w:lineRule="auto"/>
              <w:ind w:left="136"/>
              <w:rPr>
                <w:rFonts w:ascii="Arial" w:hAnsi="Arial" w:cs="Arial"/>
              </w:rPr>
            </w:pPr>
            <w:r w:rsidRPr="00EB2AD9">
              <w:rPr>
                <w:rFonts w:ascii="Arial" w:hAnsi="Arial" w:cs="Arial"/>
              </w:rPr>
              <w:t>Creation of a center for increasing the accessibility of stock market training services and information</w:t>
            </w:r>
          </w:p>
        </w:tc>
        <w:tc>
          <w:tcPr>
            <w:tcW w:w="1107" w:type="dxa"/>
            <w:tcBorders>
              <w:top w:val="single" w:sz="4" w:space="0" w:color="2D74B5"/>
              <w:bottom w:val="single" w:sz="4" w:space="0" w:color="2D74B5"/>
            </w:tcBorders>
          </w:tcPr>
          <w:p w14:paraId="376658E4" w14:textId="77777777" w:rsidR="00225395" w:rsidRPr="00EB2AD9" w:rsidRDefault="00225395" w:rsidP="00FF2A33">
            <w:pPr>
              <w:pStyle w:val="TableParagraph"/>
              <w:spacing w:before="3"/>
              <w:ind w:right="282"/>
              <w:jc w:val="right"/>
              <w:rPr>
                <w:rFonts w:ascii="Arial" w:hAnsi="Arial" w:cs="Arial"/>
              </w:rPr>
            </w:pPr>
            <w:r w:rsidRPr="00EB2AD9">
              <w:rPr>
                <w:rFonts w:ascii="Arial" w:hAnsi="Arial" w:cs="Arial"/>
              </w:rPr>
              <w:t>19.5%</w:t>
            </w:r>
          </w:p>
        </w:tc>
      </w:tr>
      <w:tr w:rsidR="00225395" w:rsidRPr="00EB2AD9" w14:paraId="15009321" w14:textId="77777777" w:rsidTr="00FF2A33">
        <w:trPr>
          <w:trHeight w:val="273"/>
        </w:trPr>
        <w:tc>
          <w:tcPr>
            <w:tcW w:w="543" w:type="dxa"/>
            <w:tcBorders>
              <w:top w:val="single" w:sz="4" w:space="0" w:color="2D74B5"/>
              <w:bottom w:val="single" w:sz="4" w:space="0" w:color="2D74B5"/>
            </w:tcBorders>
          </w:tcPr>
          <w:p w14:paraId="28C4C4B9" w14:textId="77777777" w:rsidR="00225395" w:rsidRPr="00EB2AD9" w:rsidRDefault="00225395" w:rsidP="00FF2A33">
            <w:pPr>
              <w:pStyle w:val="TableParagraph"/>
              <w:rPr>
                <w:rFonts w:ascii="Arial" w:hAnsi="Arial" w:cs="Arial"/>
              </w:rPr>
            </w:pPr>
          </w:p>
        </w:tc>
        <w:tc>
          <w:tcPr>
            <w:tcW w:w="8174" w:type="dxa"/>
            <w:tcBorders>
              <w:top w:val="single" w:sz="4" w:space="0" w:color="2D74B5"/>
              <w:bottom w:val="single" w:sz="4" w:space="0" w:color="2D74B5"/>
            </w:tcBorders>
          </w:tcPr>
          <w:p w14:paraId="1FBBAD20" w14:textId="77777777" w:rsidR="00225395" w:rsidRPr="00EB2AD9" w:rsidRDefault="00225395" w:rsidP="00FF2A33">
            <w:pPr>
              <w:pStyle w:val="TableParagraph"/>
              <w:ind w:left="136"/>
              <w:rPr>
                <w:rFonts w:ascii="Arial" w:hAnsi="Arial" w:cs="Arial"/>
                <w:b/>
                <w:lang w:val="en-US"/>
              </w:rPr>
            </w:pPr>
            <w:r w:rsidRPr="00EB2AD9">
              <w:rPr>
                <w:rFonts w:ascii="Arial" w:hAnsi="Arial" w:cs="Arial"/>
                <w:b/>
                <w:lang w:val="en-US"/>
              </w:rPr>
              <w:t>Total</w:t>
            </w:r>
          </w:p>
        </w:tc>
        <w:tc>
          <w:tcPr>
            <w:tcW w:w="1107" w:type="dxa"/>
            <w:tcBorders>
              <w:top w:val="single" w:sz="4" w:space="0" w:color="2D74B5"/>
              <w:bottom w:val="single" w:sz="4" w:space="0" w:color="2D74B5"/>
            </w:tcBorders>
          </w:tcPr>
          <w:p w14:paraId="7DED55C6" w14:textId="77777777" w:rsidR="00225395" w:rsidRPr="00EB2AD9" w:rsidRDefault="00225395" w:rsidP="00FF2A33">
            <w:pPr>
              <w:pStyle w:val="TableParagraph"/>
              <w:ind w:right="224"/>
              <w:jc w:val="right"/>
              <w:rPr>
                <w:rFonts w:ascii="Arial" w:hAnsi="Arial" w:cs="Arial"/>
                <w:b/>
              </w:rPr>
            </w:pPr>
            <w:r w:rsidRPr="00EB2AD9">
              <w:rPr>
                <w:rFonts w:ascii="Arial" w:hAnsi="Arial" w:cs="Arial"/>
                <w:b/>
              </w:rPr>
              <w:t>100.0%</w:t>
            </w:r>
          </w:p>
        </w:tc>
      </w:tr>
    </w:tbl>
    <w:p w14:paraId="521918C0" w14:textId="77777777" w:rsidR="00225395" w:rsidRPr="00EB2AD9" w:rsidRDefault="00225395" w:rsidP="00225395">
      <w:pPr>
        <w:spacing w:after="0"/>
        <w:ind w:firstLine="720"/>
        <w:jc w:val="both"/>
        <w:rPr>
          <w:rFonts w:ascii="Arial" w:hAnsi="Arial" w:cs="Arial"/>
          <w:sz w:val="22"/>
        </w:rPr>
      </w:pPr>
      <w:r w:rsidRPr="00EB2AD9">
        <w:rPr>
          <w:rFonts w:ascii="Arial" w:hAnsi="Arial" w:cs="Arial"/>
          <w:sz w:val="22"/>
        </w:rPr>
        <w:t xml:space="preserve"> </w:t>
      </w:r>
    </w:p>
    <w:p w14:paraId="27D76DB2" w14:textId="77777777" w:rsidR="00225395" w:rsidRPr="00EB2AD9" w:rsidRDefault="00225395" w:rsidP="00225395">
      <w:pPr>
        <w:spacing w:after="0" w:line="276" w:lineRule="auto"/>
        <w:ind w:firstLine="720"/>
        <w:jc w:val="both"/>
        <w:rPr>
          <w:rFonts w:ascii="Arial" w:hAnsi="Arial" w:cs="Arial"/>
          <w:sz w:val="22"/>
        </w:rPr>
      </w:pPr>
      <w:r w:rsidRPr="00EB2AD9">
        <w:rPr>
          <w:rFonts w:ascii="Arial" w:hAnsi="Arial" w:cs="Arial"/>
          <w:sz w:val="22"/>
        </w:rPr>
        <w:t>The company plans to spend 5.4 billion MNT from the total funds collected in 2024. It includes:</w:t>
      </w:r>
    </w:p>
    <w:p w14:paraId="0E980761" w14:textId="77777777" w:rsidR="00225395" w:rsidRPr="00EB2AD9" w:rsidRDefault="00225395" w:rsidP="00225395">
      <w:pPr>
        <w:pStyle w:val="ListParagraph"/>
        <w:numPr>
          <w:ilvl w:val="0"/>
          <w:numId w:val="12"/>
        </w:numPr>
        <w:spacing w:after="0" w:line="276" w:lineRule="auto"/>
        <w:ind w:left="0" w:firstLine="1080"/>
        <w:jc w:val="both"/>
        <w:rPr>
          <w:rFonts w:ascii="Arial" w:hAnsi="Arial" w:cs="Arial"/>
          <w:sz w:val="22"/>
        </w:rPr>
      </w:pPr>
      <w:r w:rsidRPr="00EB2AD9">
        <w:rPr>
          <w:rFonts w:ascii="Arial" w:hAnsi="Arial" w:cs="Arial"/>
          <w:sz w:val="22"/>
        </w:rPr>
        <w:t>• A total of MNT 1.3 billion is planned to be invested in information technology modernization and improvement, i.e. server room expansion, standardization, and digitization of internal operations.</w:t>
      </w:r>
    </w:p>
    <w:p w14:paraId="795FD32D" w14:textId="77777777" w:rsidR="00225395" w:rsidRPr="00EB2AD9" w:rsidRDefault="00225395" w:rsidP="00225395">
      <w:pPr>
        <w:pStyle w:val="ListParagraph"/>
        <w:numPr>
          <w:ilvl w:val="0"/>
          <w:numId w:val="12"/>
        </w:numPr>
        <w:spacing w:after="0" w:line="276" w:lineRule="auto"/>
        <w:ind w:left="0" w:firstLine="1080"/>
        <w:jc w:val="both"/>
        <w:rPr>
          <w:rFonts w:ascii="Arial" w:hAnsi="Arial" w:cs="Arial"/>
          <w:sz w:val="22"/>
        </w:rPr>
      </w:pPr>
      <w:r w:rsidRPr="00EB2AD9">
        <w:rPr>
          <w:rFonts w:ascii="Arial" w:hAnsi="Arial" w:cs="Arial"/>
          <w:sz w:val="22"/>
        </w:rPr>
        <w:t xml:space="preserve"> It is planned to invest MNT 2.2 billion in the creation of a center to increase the availability of stock market training, services and information, and MNT 1.9 billion in the improvement of the trading system. Investments of MNT 1.9 billion for trading system improvements include MIT trading and monitoring software updates, MIT operating system updates, and commodities and derivatives trading modules.</w:t>
      </w:r>
    </w:p>
    <w:p w14:paraId="6C35555D" w14:textId="77777777" w:rsidR="00225395" w:rsidRPr="00EB2AD9" w:rsidRDefault="00225395" w:rsidP="00225395">
      <w:pPr>
        <w:spacing w:after="0" w:line="276" w:lineRule="auto"/>
        <w:jc w:val="both"/>
        <w:rPr>
          <w:rFonts w:ascii="Arial" w:hAnsi="Arial" w:cs="Arial"/>
          <w:sz w:val="22"/>
        </w:rPr>
      </w:pPr>
    </w:p>
    <w:p w14:paraId="5518BFE7" w14:textId="77777777" w:rsidR="00225395" w:rsidRPr="00EB2AD9" w:rsidRDefault="00225395" w:rsidP="00225395">
      <w:pPr>
        <w:spacing w:after="0"/>
        <w:ind w:firstLine="720"/>
        <w:jc w:val="both"/>
        <w:rPr>
          <w:rFonts w:ascii="Arial" w:hAnsi="Arial" w:cs="Arial"/>
          <w:sz w:val="22"/>
        </w:rPr>
      </w:pPr>
      <w:r w:rsidRPr="00EB2AD9">
        <w:rPr>
          <w:rFonts w:ascii="Arial" w:hAnsi="Arial" w:cs="Arial"/>
          <w:sz w:val="22"/>
        </w:rPr>
        <w:t>Out of this, as of the second quarter of 2024, MNT 2.1 billion for the interior creation of buildings, MNT 1.03 billion for the expansion and standardization of the server room, MNT 38.5 million for the digitization of internal operations, MNT 44.2 million for system improvement or resource center equipment upgrade, system configuration, and additional changes made to the system was organized and a total investment of MNT 3.2 billion implemented in accordance with the Law on "Procurement of Goods, Works, and Services with State and Local Property Funds" has worked.</w:t>
      </w:r>
    </w:p>
    <w:p w14:paraId="5C3BC7F7" w14:textId="77777777" w:rsidR="005F4A99" w:rsidRDefault="005F4A99" w:rsidP="00225395">
      <w:pPr>
        <w:spacing w:after="0"/>
        <w:ind w:firstLine="720"/>
        <w:jc w:val="both"/>
        <w:rPr>
          <w:rFonts w:ascii="Arial" w:hAnsi="Arial" w:cs="Arial"/>
          <w:sz w:val="22"/>
        </w:rPr>
      </w:pPr>
    </w:p>
    <w:p w14:paraId="7E6920A4" w14:textId="692C07F4" w:rsidR="005F4A99" w:rsidRDefault="00225395" w:rsidP="00225395">
      <w:pPr>
        <w:spacing w:after="0"/>
        <w:ind w:firstLine="720"/>
        <w:jc w:val="both"/>
        <w:rPr>
          <w:rFonts w:ascii="Arial" w:hAnsi="Arial" w:cs="Arial"/>
          <w:sz w:val="22"/>
        </w:rPr>
      </w:pPr>
      <w:r w:rsidRPr="00EB2AD9">
        <w:rPr>
          <w:rFonts w:ascii="Arial" w:hAnsi="Arial" w:cs="Arial"/>
          <w:sz w:val="22"/>
        </w:rPr>
        <w:t>Presenting the report of the 2nd quarter of 2024 on the spending of the funds.</w:t>
      </w:r>
    </w:p>
    <w:p w14:paraId="593A048A" w14:textId="77777777" w:rsidR="005F4A99" w:rsidRDefault="005F4A99">
      <w:pPr>
        <w:rPr>
          <w:rFonts w:ascii="Arial" w:hAnsi="Arial" w:cs="Arial"/>
          <w:sz w:val="22"/>
        </w:rPr>
      </w:pPr>
      <w:r>
        <w:rPr>
          <w:rFonts w:ascii="Arial" w:hAnsi="Arial" w:cs="Arial"/>
          <w:sz w:val="22"/>
        </w:rPr>
        <w:br w:type="page"/>
      </w:r>
    </w:p>
    <w:p w14:paraId="31ECEC25" w14:textId="77777777" w:rsidR="00225395" w:rsidRPr="00EB2AD9" w:rsidRDefault="00225395" w:rsidP="00225395">
      <w:pPr>
        <w:spacing w:after="0"/>
        <w:ind w:firstLine="720"/>
        <w:jc w:val="both"/>
        <w:rPr>
          <w:rFonts w:ascii="Arial" w:hAnsi="Arial" w:cs="Arial"/>
          <w:sz w:val="22"/>
        </w:rPr>
      </w:pPr>
    </w:p>
    <w:p w14:paraId="221622D9" w14:textId="77777777" w:rsidR="00225395" w:rsidRPr="00EB2AD9" w:rsidRDefault="00225395" w:rsidP="00225395">
      <w:pPr>
        <w:spacing w:after="0"/>
        <w:ind w:firstLine="720"/>
        <w:jc w:val="both"/>
        <w:rPr>
          <w:rFonts w:ascii="Arial" w:hAnsi="Arial" w:cs="Arial"/>
          <w:sz w:val="22"/>
        </w:rPr>
      </w:pPr>
    </w:p>
    <w:tbl>
      <w:tblPr>
        <w:tblW w:w="10890" w:type="dxa"/>
        <w:tblInd w:w="-900" w:type="dxa"/>
        <w:tblLayout w:type="fixed"/>
        <w:tblLook w:val="04A0" w:firstRow="1" w:lastRow="0" w:firstColumn="1" w:lastColumn="0" w:noHBand="0" w:noVBand="1"/>
      </w:tblPr>
      <w:tblGrid>
        <w:gridCol w:w="320"/>
        <w:gridCol w:w="1915"/>
        <w:gridCol w:w="1368"/>
        <w:gridCol w:w="827"/>
        <w:gridCol w:w="1267"/>
        <w:gridCol w:w="827"/>
        <w:gridCol w:w="1267"/>
        <w:gridCol w:w="827"/>
        <w:gridCol w:w="1267"/>
        <w:gridCol w:w="1005"/>
      </w:tblGrid>
      <w:tr w:rsidR="00225395" w:rsidRPr="00AD0142" w14:paraId="16E34E60" w14:textId="77777777" w:rsidTr="00FF2A33">
        <w:trPr>
          <w:trHeight w:val="300"/>
        </w:trPr>
        <w:tc>
          <w:tcPr>
            <w:tcW w:w="320" w:type="dxa"/>
            <w:tcBorders>
              <w:top w:val="single" w:sz="8" w:space="0" w:color="4472C4"/>
              <w:left w:val="nil"/>
              <w:bottom w:val="single" w:sz="8" w:space="0" w:color="4472C4"/>
              <w:right w:val="nil"/>
            </w:tcBorders>
            <w:shd w:val="clear" w:color="auto" w:fill="auto"/>
            <w:vAlign w:val="center"/>
            <w:hideMark/>
          </w:tcPr>
          <w:p w14:paraId="4643AEA1"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 </w:t>
            </w:r>
          </w:p>
        </w:tc>
        <w:tc>
          <w:tcPr>
            <w:tcW w:w="1915" w:type="dxa"/>
            <w:tcBorders>
              <w:top w:val="single" w:sz="8" w:space="0" w:color="4472C4"/>
              <w:left w:val="nil"/>
              <w:bottom w:val="single" w:sz="8" w:space="0" w:color="4472C4"/>
              <w:right w:val="nil"/>
            </w:tcBorders>
            <w:shd w:val="clear" w:color="auto" w:fill="auto"/>
            <w:vAlign w:val="center"/>
            <w:hideMark/>
          </w:tcPr>
          <w:p w14:paraId="2D8F417D"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 </w:t>
            </w:r>
          </w:p>
        </w:tc>
        <w:tc>
          <w:tcPr>
            <w:tcW w:w="2195" w:type="dxa"/>
            <w:gridSpan w:val="2"/>
            <w:tcBorders>
              <w:top w:val="single" w:sz="8" w:space="0" w:color="4472C4"/>
              <w:left w:val="nil"/>
              <w:bottom w:val="single" w:sz="8" w:space="0" w:color="4472C4"/>
              <w:right w:val="nil"/>
            </w:tcBorders>
            <w:shd w:val="clear" w:color="auto" w:fill="auto"/>
            <w:vAlign w:val="center"/>
            <w:hideMark/>
          </w:tcPr>
          <w:p w14:paraId="6BD01A92"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 </w:t>
            </w:r>
          </w:p>
        </w:tc>
        <w:tc>
          <w:tcPr>
            <w:tcW w:w="1267" w:type="dxa"/>
            <w:tcBorders>
              <w:top w:val="single" w:sz="8" w:space="0" w:color="4472C4"/>
              <w:left w:val="nil"/>
              <w:bottom w:val="single" w:sz="8" w:space="0" w:color="4472C4"/>
              <w:right w:val="nil"/>
            </w:tcBorders>
            <w:shd w:val="clear" w:color="auto" w:fill="auto"/>
            <w:vAlign w:val="center"/>
            <w:hideMark/>
          </w:tcPr>
          <w:p w14:paraId="29983BCA"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 </w:t>
            </w:r>
          </w:p>
        </w:tc>
        <w:tc>
          <w:tcPr>
            <w:tcW w:w="827" w:type="dxa"/>
            <w:tcBorders>
              <w:top w:val="single" w:sz="8" w:space="0" w:color="4472C4"/>
              <w:left w:val="nil"/>
              <w:bottom w:val="single" w:sz="8" w:space="0" w:color="4472C4"/>
              <w:right w:val="nil"/>
            </w:tcBorders>
            <w:shd w:val="clear" w:color="auto" w:fill="auto"/>
            <w:vAlign w:val="center"/>
            <w:hideMark/>
          </w:tcPr>
          <w:p w14:paraId="503A8BD3"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 </w:t>
            </w:r>
          </w:p>
        </w:tc>
        <w:tc>
          <w:tcPr>
            <w:tcW w:w="1267" w:type="dxa"/>
            <w:tcBorders>
              <w:top w:val="single" w:sz="8" w:space="0" w:color="4472C4"/>
              <w:left w:val="nil"/>
              <w:bottom w:val="single" w:sz="8" w:space="0" w:color="4472C4"/>
              <w:right w:val="nil"/>
            </w:tcBorders>
            <w:shd w:val="clear" w:color="auto" w:fill="auto"/>
            <w:vAlign w:val="center"/>
            <w:hideMark/>
          </w:tcPr>
          <w:p w14:paraId="7112F684"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 </w:t>
            </w:r>
          </w:p>
        </w:tc>
        <w:tc>
          <w:tcPr>
            <w:tcW w:w="827" w:type="dxa"/>
            <w:tcBorders>
              <w:top w:val="single" w:sz="8" w:space="0" w:color="4472C4"/>
              <w:left w:val="nil"/>
              <w:bottom w:val="single" w:sz="8" w:space="0" w:color="4472C4"/>
              <w:right w:val="nil"/>
            </w:tcBorders>
            <w:shd w:val="clear" w:color="auto" w:fill="auto"/>
            <w:vAlign w:val="center"/>
            <w:hideMark/>
          </w:tcPr>
          <w:p w14:paraId="7F88101F"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 </w:t>
            </w:r>
          </w:p>
        </w:tc>
        <w:tc>
          <w:tcPr>
            <w:tcW w:w="2272" w:type="dxa"/>
            <w:gridSpan w:val="2"/>
            <w:tcBorders>
              <w:top w:val="single" w:sz="8" w:space="0" w:color="4472C4"/>
              <w:left w:val="nil"/>
              <w:bottom w:val="single" w:sz="8" w:space="0" w:color="4472C4"/>
              <w:right w:val="nil"/>
            </w:tcBorders>
            <w:shd w:val="clear" w:color="auto" w:fill="auto"/>
            <w:vAlign w:val="center"/>
            <w:hideMark/>
          </w:tcPr>
          <w:p w14:paraId="21DF844D" w14:textId="77777777" w:rsidR="00225395" w:rsidRPr="00700FE0" w:rsidRDefault="00225395" w:rsidP="00FF2A33">
            <w:pPr>
              <w:spacing w:after="0" w:line="240" w:lineRule="auto"/>
              <w:jc w:val="right"/>
              <w:rPr>
                <w:rFonts w:ascii="Arial" w:eastAsia="Times New Roman" w:hAnsi="Arial" w:cs="Arial"/>
                <w:color w:val="222A35"/>
                <w:sz w:val="18"/>
                <w:szCs w:val="18"/>
              </w:rPr>
            </w:pPr>
            <w:r w:rsidRPr="00700FE0">
              <w:rPr>
                <w:rFonts w:ascii="Arial" w:eastAsia="Times New Roman" w:hAnsi="Arial" w:cs="Arial"/>
                <w:color w:val="222A35"/>
                <w:sz w:val="18"/>
                <w:szCs w:val="18"/>
              </w:rPr>
              <w:t>/in thousand tugrik/</w:t>
            </w:r>
          </w:p>
        </w:tc>
      </w:tr>
      <w:tr w:rsidR="00225395" w:rsidRPr="00AD0142" w14:paraId="46C5DBE1" w14:textId="77777777" w:rsidTr="00FF2A33">
        <w:trPr>
          <w:trHeight w:val="528"/>
        </w:trPr>
        <w:tc>
          <w:tcPr>
            <w:tcW w:w="320" w:type="dxa"/>
            <w:tcBorders>
              <w:top w:val="nil"/>
              <w:left w:val="nil"/>
              <w:bottom w:val="nil"/>
              <w:right w:val="nil"/>
            </w:tcBorders>
            <w:shd w:val="clear" w:color="000000" w:fill="E9EBF5"/>
            <w:vAlign w:val="center"/>
            <w:hideMark/>
          </w:tcPr>
          <w:p w14:paraId="29426888" w14:textId="77777777" w:rsidR="00225395" w:rsidRPr="00700FE0" w:rsidRDefault="00225395" w:rsidP="00FF2A33">
            <w:pPr>
              <w:spacing w:after="0" w:line="240" w:lineRule="auto"/>
              <w:jc w:val="center"/>
              <w:rPr>
                <w:rFonts w:ascii="Arial" w:eastAsia="Times New Roman" w:hAnsi="Arial" w:cs="Arial"/>
                <w:sz w:val="18"/>
                <w:szCs w:val="18"/>
              </w:rPr>
            </w:pPr>
            <w:r w:rsidRPr="00700FE0">
              <w:rPr>
                <w:rFonts w:ascii="Arial" w:eastAsia="Times New Roman" w:hAnsi="Arial" w:cs="Arial"/>
                <w:sz w:val="18"/>
                <w:szCs w:val="18"/>
              </w:rPr>
              <w:t>№</w:t>
            </w:r>
          </w:p>
        </w:tc>
        <w:tc>
          <w:tcPr>
            <w:tcW w:w="4110" w:type="dxa"/>
            <w:gridSpan w:val="3"/>
            <w:tcBorders>
              <w:top w:val="single" w:sz="8" w:space="0" w:color="4472C4"/>
              <w:left w:val="nil"/>
              <w:bottom w:val="nil"/>
              <w:right w:val="nil"/>
            </w:tcBorders>
            <w:shd w:val="clear" w:color="000000" w:fill="E9EBF5"/>
            <w:vAlign w:val="center"/>
            <w:hideMark/>
          </w:tcPr>
          <w:p w14:paraId="73B0F0F6" w14:textId="77777777" w:rsidR="00225395" w:rsidRPr="00700FE0" w:rsidRDefault="00225395" w:rsidP="00FF2A33">
            <w:pPr>
              <w:spacing w:after="0" w:line="240" w:lineRule="auto"/>
              <w:jc w:val="center"/>
              <w:rPr>
                <w:rFonts w:ascii="Arial" w:eastAsia="Times New Roman" w:hAnsi="Arial" w:cs="Arial"/>
                <w:sz w:val="18"/>
                <w:szCs w:val="18"/>
              </w:rPr>
            </w:pPr>
            <w:r w:rsidRPr="00700FE0">
              <w:rPr>
                <w:rFonts w:ascii="Arial" w:eastAsia="Times New Roman" w:hAnsi="Arial" w:cs="Arial"/>
                <w:sz w:val="18"/>
                <w:szCs w:val="18"/>
              </w:rPr>
              <w:t>Disbursement plan of funds collected</w:t>
            </w:r>
          </w:p>
        </w:tc>
        <w:tc>
          <w:tcPr>
            <w:tcW w:w="2094" w:type="dxa"/>
            <w:gridSpan w:val="2"/>
            <w:tcBorders>
              <w:top w:val="single" w:sz="8" w:space="0" w:color="4472C4"/>
              <w:left w:val="nil"/>
              <w:bottom w:val="nil"/>
              <w:right w:val="nil"/>
            </w:tcBorders>
            <w:shd w:val="clear" w:color="000000" w:fill="E9EBF5"/>
            <w:vAlign w:val="center"/>
            <w:hideMark/>
          </w:tcPr>
          <w:p w14:paraId="6618F91D" w14:textId="77777777" w:rsidR="00225395" w:rsidRPr="00700FE0" w:rsidRDefault="00225395" w:rsidP="00FF2A33">
            <w:pPr>
              <w:spacing w:after="0" w:line="240" w:lineRule="auto"/>
              <w:jc w:val="center"/>
              <w:rPr>
                <w:rFonts w:ascii="Arial" w:eastAsia="Times New Roman" w:hAnsi="Arial" w:cs="Arial"/>
                <w:sz w:val="18"/>
                <w:szCs w:val="18"/>
              </w:rPr>
            </w:pPr>
            <w:r w:rsidRPr="00700FE0">
              <w:rPr>
                <w:rFonts w:ascii="Arial" w:eastAsia="Times New Roman" w:hAnsi="Arial" w:cs="Arial"/>
                <w:sz w:val="18"/>
                <w:szCs w:val="18"/>
              </w:rPr>
              <w:t>Performance 2023.12.31</w:t>
            </w:r>
          </w:p>
        </w:tc>
        <w:tc>
          <w:tcPr>
            <w:tcW w:w="2094" w:type="dxa"/>
            <w:gridSpan w:val="2"/>
            <w:tcBorders>
              <w:top w:val="single" w:sz="8" w:space="0" w:color="4472C4"/>
              <w:left w:val="nil"/>
              <w:bottom w:val="nil"/>
              <w:right w:val="nil"/>
            </w:tcBorders>
            <w:shd w:val="clear" w:color="000000" w:fill="E9EBF5"/>
            <w:vAlign w:val="center"/>
            <w:hideMark/>
          </w:tcPr>
          <w:p w14:paraId="6719AF2A" w14:textId="77777777" w:rsidR="00225395" w:rsidRPr="00700FE0" w:rsidRDefault="00225395" w:rsidP="00FF2A33">
            <w:pPr>
              <w:spacing w:after="0" w:line="240" w:lineRule="auto"/>
              <w:jc w:val="center"/>
              <w:rPr>
                <w:rFonts w:ascii="Arial" w:eastAsia="Times New Roman" w:hAnsi="Arial" w:cs="Arial"/>
                <w:sz w:val="18"/>
                <w:szCs w:val="18"/>
              </w:rPr>
            </w:pPr>
            <w:r w:rsidRPr="00700FE0">
              <w:rPr>
                <w:rFonts w:ascii="Arial" w:eastAsia="Times New Roman" w:hAnsi="Arial" w:cs="Arial"/>
                <w:sz w:val="18"/>
                <w:szCs w:val="18"/>
              </w:rPr>
              <w:t>Performance 2024.06.30</w:t>
            </w:r>
          </w:p>
        </w:tc>
        <w:tc>
          <w:tcPr>
            <w:tcW w:w="2272" w:type="dxa"/>
            <w:gridSpan w:val="2"/>
            <w:tcBorders>
              <w:top w:val="single" w:sz="8" w:space="0" w:color="4472C4"/>
              <w:left w:val="nil"/>
              <w:bottom w:val="nil"/>
              <w:right w:val="nil"/>
            </w:tcBorders>
            <w:shd w:val="clear" w:color="000000" w:fill="E9EBF5"/>
            <w:vAlign w:val="center"/>
            <w:hideMark/>
          </w:tcPr>
          <w:p w14:paraId="5F61D218" w14:textId="77777777" w:rsidR="00225395" w:rsidRPr="00700FE0" w:rsidRDefault="00225395" w:rsidP="00FF2A33">
            <w:pPr>
              <w:spacing w:after="0" w:line="240" w:lineRule="auto"/>
              <w:jc w:val="center"/>
              <w:rPr>
                <w:rFonts w:ascii="Arial" w:eastAsia="Times New Roman" w:hAnsi="Arial" w:cs="Arial"/>
                <w:sz w:val="18"/>
                <w:szCs w:val="18"/>
              </w:rPr>
            </w:pPr>
            <w:r w:rsidRPr="00700FE0">
              <w:rPr>
                <w:rFonts w:ascii="Arial" w:eastAsia="Times New Roman" w:hAnsi="Arial" w:cs="Arial"/>
                <w:sz w:val="18"/>
                <w:szCs w:val="18"/>
              </w:rPr>
              <w:t>Total</w:t>
            </w:r>
          </w:p>
        </w:tc>
      </w:tr>
      <w:tr w:rsidR="00225395" w:rsidRPr="00AD0142" w14:paraId="46E2AB3F" w14:textId="77777777" w:rsidTr="00FF2A33">
        <w:trPr>
          <w:trHeight w:val="528"/>
        </w:trPr>
        <w:tc>
          <w:tcPr>
            <w:tcW w:w="320" w:type="dxa"/>
            <w:tcBorders>
              <w:top w:val="nil"/>
              <w:left w:val="nil"/>
              <w:bottom w:val="nil"/>
              <w:right w:val="nil"/>
            </w:tcBorders>
            <w:shd w:val="clear" w:color="auto" w:fill="auto"/>
            <w:vAlign w:val="center"/>
            <w:hideMark/>
          </w:tcPr>
          <w:p w14:paraId="2F911590" w14:textId="77777777" w:rsidR="00225395" w:rsidRPr="00700FE0" w:rsidRDefault="00225395" w:rsidP="00FF2A33">
            <w:pPr>
              <w:spacing w:after="0" w:line="240" w:lineRule="auto"/>
              <w:jc w:val="center"/>
              <w:rPr>
                <w:rFonts w:ascii="Arial" w:eastAsia="Times New Roman" w:hAnsi="Arial" w:cs="Arial"/>
                <w:sz w:val="18"/>
                <w:szCs w:val="18"/>
              </w:rPr>
            </w:pPr>
            <w:r w:rsidRPr="00700FE0">
              <w:rPr>
                <w:rFonts w:ascii="Arial" w:eastAsia="Times New Roman" w:hAnsi="Arial" w:cs="Arial"/>
                <w:sz w:val="18"/>
                <w:szCs w:val="18"/>
              </w:rPr>
              <w:t>1</w:t>
            </w:r>
          </w:p>
        </w:tc>
        <w:tc>
          <w:tcPr>
            <w:tcW w:w="1915" w:type="dxa"/>
            <w:tcBorders>
              <w:top w:val="nil"/>
              <w:left w:val="nil"/>
              <w:bottom w:val="nil"/>
              <w:right w:val="nil"/>
            </w:tcBorders>
            <w:shd w:val="clear" w:color="auto" w:fill="auto"/>
            <w:vAlign w:val="center"/>
            <w:hideMark/>
          </w:tcPr>
          <w:p w14:paraId="6BF51272"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Trading system improvement</w:t>
            </w:r>
          </w:p>
        </w:tc>
        <w:tc>
          <w:tcPr>
            <w:tcW w:w="1368" w:type="dxa"/>
            <w:tcBorders>
              <w:top w:val="nil"/>
              <w:left w:val="nil"/>
              <w:bottom w:val="nil"/>
              <w:right w:val="nil"/>
            </w:tcBorders>
            <w:shd w:val="clear" w:color="auto" w:fill="auto"/>
            <w:vAlign w:val="center"/>
            <w:hideMark/>
          </w:tcPr>
          <w:p w14:paraId="33D19727"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7,590,339.31</w:t>
            </w:r>
          </w:p>
        </w:tc>
        <w:tc>
          <w:tcPr>
            <w:tcW w:w="827" w:type="dxa"/>
            <w:tcBorders>
              <w:top w:val="nil"/>
              <w:left w:val="nil"/>
              <w:bottom w:val="nil"/>
              <w:right w:val="nil"/>
            </w:tcBorders>
            <w:shd w:val="clear" w:color="auto" w:fill="auto"/>
            <w:vAlign w:val="center"/>
            <w:hideMark/>
          </w:tcPr>
          <w:p w14:paraId="0AA070D6"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63.70%</w:t>
            </w:r>
          </w:p>
        </w:tc>
        <w:tc>
          <w:tcPr>
            <w:tcW w:w="1267" w:type="dxa"/>
            <w:tcBorders>
              <w:top w:val="nil"/>
              <w:left w:val="nil"/>
              <w:bottom w:val="nil"/>
              <w:right w:val="nil"/>
            </w:tcBorders>
            <w:shd w:val="clear" w:color="auto" w:fill="auto"/>
            <w:vAlign w:val="center"/>
            <w:hideMark/>
          </w:tcPr>
          <w:p w14:paraId="48158806"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1,264,996.97</w:t>
            </w:r>
          </w:p>
        </w:tc>
        <w:tc>
          <w:tcPr>
            <w:tcW w:w="827" w:type="dxa"/>
            <w:tcBorders>
              <w:top w:val="nil"/>
              <w:left w:val="nil"/>
              <w:bottom w:val="nil"/>
              <w:right w:val="nil"/>
            </w:tcBorders>
            <w:shd w:val="clear" w:color="auto" w:fill="auto"/>
            <w:vAlign w:val="center"/>
            <w:hideMark/>
          </w:tcPr>
          <w:p w14:paraId="7D10368D"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10.60%</w:t>
            </w:r>
          </w:p>
        </w:tc>
        <w:tc>
          <w:tcPr>
            <w:tcW w:w="1267" w:type="dxa"/>
            <w:tcBorders>
              <w:top w:val="nil"/>
              <w:left w:val="nil"/>
              <w:bottom w:val="nil"/>
              <w:right w:val="nil"/>
            </w:tcBorders>
            <w:shd w:val="clear" w:color="auto" w:fill="auto"/>
            <w:vAlign w:val="center"/>
            <w:hideMark/>
          </w:tcPr>
          <w:p w14:paraId="7209C065"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44,276.48</w:t>
            </w:r>
          </w:p>
        </w:tc>
        <w:tc>
          <w:tcPr>
            <w:tcW w:w="827" w:type="dxa"/>
            <w:tcBorders>
              <w:top w:val="nil"/>
              <w:left w:val="nil"/>
              <w:bottom w:val="nil"/>
              <w:right w:val="nil"/>
            </w:tcBorders>
            <w:shd w:val="clear" w:color="auto" w:fill="auto"/>
            <w:vAlign w:val="center"/>
            <w:hideMark/>
          </w:tcPr>
          <w:p w14:paraId="7B26E896"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0.40%</w:t>
            </w:r>
          </w:p>
        </w:tc>
        <w:tc>
          <w:tcPr>
            <w:tcW w:w="1267" w:type="dxa"/>
            <w:tcBorders>
              <w:top w:val="nil"/>
              <w:left w:val="nil"/>
              <w:bottom w:val="nil"/>
              <w:right w:val="nil"/>
            </w:tcBorders>
            <w:shd w:val="clear" w:color="auto" w:fill="auto"/>
            <w:vAlign w:val="center"/>
            <w:hideMark/>
          </w:tcPr>
          <w:p w14:paraId="1EB5B31D"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1,309,273.45</w:t>
            </w:r>
          </w:p>
        </w:tc>
        <w:tc>
          <w:tcPr>
            <w:tcW w:w="1005" w:type="dxa"/>
            <w:tcBorders>
              <w:top w:val="nil"/>
              <w:left w:val="nil"/>
              <w:bottom w:val="nil"/>
              <w:right w:val="nil"/>
            </w:tcBorders>
            <w:shd w:val="clear" w:color="auto" w:fill="auto"/>
            <w:vAlign w:val="center"/>
            <w:hideMark/>
          </w:tcPr>
          <w:p w14:paraId="3BA51350"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10.90%</w:t>
            </w:r>
          </w:p>
        </w:tc>
      </w:tr>
      <w:tr w:rsidR="00225395" w:rsidRPr="00AD0142" w14:paraId="709585CB" w14:textId="77777777" w:rsidTr="00FF2A33">
        <w:trPr>
          <w:trHeight w:val="792"/>
        </w:trPr>
        <w:tc>
          <w:tcPr>
            <w:tcW w:w="320" w:type="dxa"/>
            <w:tcBorders>
              <w:top w:val="nil"/>
              <w:left w:val="nil"/>
              <w:bottom w:val="nil"/>
              <w:right w:val="nil"/>
            </w:tcBorders>
            <w:shd w:val="clear" w:color="000000" w:fill="E9EBF5"/>
            <w:vAlign w:val="center"/>
            <w:hideMark/>
          </w:tcPr>
          <w:p w14:paraId="00D058CC" w14:textId="77777777" w:rsidR="00225395" w:rsidRPr="00700FE0" w:rsidRDefault="00225395" w:rsidP="00FF2A33">
            <w:pPr>
              <w:spacing w:after="0" w:line="240" w:lineRule="auto"/>
              <w:jc w:val="center"/>
              <w:rPr>
                <w:rFonts w:ascii="Arial" w:eastAsia="Times New Roman" w:hAnsi="Arial" w:cs="Arial"/>
                <w:sz w:val="18"/>
                <w:szCs w:val="18"/>
              </w:rPr>
            </w:pPr>
            <w:r w:rsidRPr="00700FE0">
              <w:rPr>
                <w:rFonts w:ascii="Arial" w:eastAsia="Times New Roman" w:hAnsi="Arial" w:cs="Arial"/>
                <w:sz w:val="18"/>
                <w:szCs w:val="18"/>
              </w:rPr>
              <w:t>2</w:t>
            </w:r>
          </w:p>
        </w:tc>
        <w:tc>
          <w:tcPr>
            <w:tcW w:w="1915" w:type="dxa"/>
            <w:tcBorders>
              <w:top w:val="nil"/>
              <w:left w:val="nil"/>
              <w:bottom w:val="nil"/>
              <w:right w:val="nil"/>
            </w:tcBorders>
            <w:shd w:val="clear" w:color="000000" w:fill="E9EBF5"/>
            <w:vAlign w:val="center"/>
            <w:hideMark/>
          </w:tcPr>
          <w:p w14:paraId="53EB3378"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Information technology security</w:t>
            </w:r>
          </w:p>
        </w:tc>
        <w:tc>
          <w:tcPr>
            <w:tcW w:w="1368" w:type="dxa"/>
            <w:tcBorders>
              <w:top w:val="nil"/>
              <w:left w:val="nil"/>
              <w:bottom w:val="nil"/>
              <w:right w:val="nil"/>
            </w:tcBorders>
            <w:shd w:val="clear" w:color="000000" w:fill="E9EBF5"/>
            <w:vAlign w:val="center"/>
            <w:hideMark/>
          </w:tcPr>
          <w:p w14:paraId="012266A1"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1,274,986.35</w:t>
            </w:r>
          </w:p>
        </w:tc>
        <w:tc>
          <w:tcPr>
            <w:tcW w:w="827" w:type="dxa"/>
            <w:tcBorders>
              <w:top w:val="nil"/>
              <w:left w:val="nil"/>
              <w:bottom w:val="nil"/>
              <w:right w:val="nil"/>
            </w:tcBorders>
            <w:shd w:val="clear" w:color="000000" w:fill="E9EBF5"/>
            <w:vAlign w:val="center"/>
            <w:hideMark/>
          </w:tcPr>
          <w:p w14:paraId="1FC7D9E0"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10.70%</w:t>
            </w:r>
          </w:p>
        </w:tc>
        <w:tc>
          <w:tcPr>
            <w:tcW w:w="1267" w:type="dxa"/>
            <w:tcBorders>
              <w:top w:val="nil"/>
              <w:left w:val="nil"/>
              <w:bottom w:val="nil"/>
              <w:right w:val="nil"/>
            </w:tcBorders>
            <w:shd w:val="clear" w:color="000000" w:fill="E9EBF5"/>
            <w:vAlign w:val="center"/>
            <w:hideMark/>
          </w:tcPr>
          <w:p w14:paraId="50FE205F"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65,896.31</w:t>
            </w:r>
          </w:p>
        </w:tc>
        <w:tc>
          <w:tcPr>
            <w:tcW w:w="827" w:type="dxa"/>
            <w:tcBorders>
              <w:top w:val="nil"/>
              <w:left w:val="nil"/>
              <w:bottom w:val="nil"/>
              <w:right w:val="nil"/>
            </w:tcBorders>
            <w:shd w:val="clear" w:color="000000" w:fill="E9EBF5"/>
            <w:vAlign w:val="center"/>
            <w:hideMark/>
          </w:tcPr>
          <w:p w14:paraId="402CB21E"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0.60%</w:t>
            </w:r>
          </w:p>
        </w:tc>
        <w:tc>
          <w:tcPr>
            <w:tcW w:w="1267" w:type="dxa"/>
            <w:tcBorders>
              <w:top w:val="nil"/>
              <w:left w:val="nil"/>
              <w:bottom w:val="nil"/>
              <w:right w:val="nil"/>
            </w:tcBorders>
            <w:shd w:val="clear" w:color="000000" w:fill="E9EBF5"/>
            <w:vAlign w:val="center"/>
            <w:hideMark/>
          </w:tcPr>
          <w:p w14:paraId="0DBA03B7"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1,026,000</w:t>
            </w:r>
          </w:p>
        </w:tc>
        <w:tc>
          <w:tcPr>
            <w:tcW w:w="827" w:type="dxa"/>
            <w:tcBorders>
              <w:top w:val="nil"/>
              <w:left w:val="nil"/>
              <w:bottom w:val="nil"/>
              <w:right w:val="nil"/>
            </w:tcBorders>
            <w:shd w:val="clear" w:color="000000" w:fill="E9EBF5"/>
            <w:vAlign w:val="center"/>
            <w:hideMark/>
          </w:tcPr>
          <w:p w14:paraId="342D3CA7"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8.60%</w:t>
            </w:r>
          </w:p>
        </w:tc>
        <w:tc>
          <w:tcPr>
            <w:tcW w:w="1267" w:type="dxa"/>
            <w:tcBorders>
              <w:top w:val="nil"/>
              <w:left w:val="nil"/>
              <w:bottom w:val="nil"/>
              <w:right w:val="nil"/>
            </w:tcBorders>
            <w:shd w:val="clear" w:color="000000" w:fill="E9EBF5"/>
            <w:vAlign w:val="center"/>
            <w:hideMark/>
          </w:tcPr>
          <w:p w14:paraId="467C9CD9"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1,091,896.31</w:t>
            </w:r>
          </w:p>
        </w:tc>
        <w:tc>
          <w:tcPr>
            <w:tcW w:w="1005" w:type="dxa"/>
            <w:tcBorders>
              <w:top w:val="nil"/>
              <w:left w:val="nil"/>
              <w:bottom w:val="nil"/>
              <w:right w:val="nil"/>
            </w:tcBorders>
            <w:shd w:val="clear" w:color="000000" w:fill="E9EBF5"/>
            <w:vAlign w:val="center"/>
            <w:hideMark/>
          </w:tcPr>
          <w:p w14:paraId="359A03EE"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9.20%</w:t>
            </w:r>
          </w:p>
        </w:tc>
      </w:tr>
      <w:tr w:rsidR="00225395" w:rsidRPr="00AD0142" w14:paraId="4D0B7735" w14:textId="77777777" w:rsidTr="00FF2A33">
        <w:trPr>
          <w:trHeight w:val="792"/>
        </w:trPr>
        <w:tc>
          <w:tcPr>
            <w:tcW w:w="320" w:type="dxa"/>
            <w:tcBorders>
              <w:top w:val="nil"/>
              <w:left w:val="nil"/>
              <w:bottom w:val="nil"/>
              <w:right w:val="nil"/>
            </w:tcBorders>
            <w:shd w:val="clear" w:color="auto" w:fill="auto"/>
            <w:vAlign w:val="center"/>
            <w:hideMark/>
          </w:tcPr>
          <w:p w14:paraId="333AAFC3" w14:textId="77777777" w:rsidR="00225395" w:rsidRPr="00700FE0" w:rsidRDefault="00225395" w:rsidP="00FF2A33">
            <w:pPr>
              <w:spacing w:after="0" w:line="240" w:lineRule="auto"/>
              <w:jc w:val="center"/>
              <w:rPr>
                <w:rFonts w:ascii="Arial" w:eastAsia="Times New Roman" w:hAnsi="Arial" w:cs="Arial"/>
                <w:sz w:val="18"/>
                <w:szCs w:val="18"/>
              </w:rPr>
            </w:pPr>
            <w:r w:rsidRPr="00700FE0">
              <w:rPr>
                <w:rFonts w:ascii="Arial" w:eastAsia="Times New Roman" w:hAnsi="Arial" w:cs="Arial"/>
                <w:sz w:val="18"/>
                <w:szCs w:val="18"/>
              </w:rPr>
              <w:t>3</w:t>
            </w:r>
          </w:p>
        </w:tc>
        <w:tc>
          <w:tcPr>
            <w:tcW w:w="1915" w:type="dxa"/>
            <w:tcBorders>
              <w:top w:val="nil"/>
              <w:left w:val="nil"/>
              <w:bottom w:val="nil"/>
              <w:right w:val="nil"/>
            </w:tcBorders>
            <w:shd w:val="clear" w:color="auto" w:fill="auto"/>
            <w:vAlign w:val="center"/>
            <w:hideMark/>
          </w:tcPr>
          <w:p w14:paraId="6D759EC8"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Digitization of internal operations</w:t>
            </w:r>
          </w:p>
        </w:tc>
        <w:tc>
          <w:tcPr>
            <w:tcW w:w="1368" w:type="dxa"/>
            <w:tcBorders>
              <w:top w:val="nil"/>
              <w:left w:val="nil"/>
              <w:bottom w:val="nil"/>
              <w:right w:val="nil"/>
            </w:tcBorders>
            <w:shd w:val="clear" w:color="auto" w:fill="auto"/>
            <w:vAlign w:val="center"/>
            <w:hideMark/>
          </w:tcPr>
          <w:p w14:paraId="545961C8"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726,861.38</w:t>
            </w:r>
          </w:p>
        </w:tc>
        <w:tc>
          <w:tcPr>
            <w:tcW w:w="827" w:type="dxa"/>
            <w:tcBorders>
              <w:top w:val="nil"/>
              <w:left w:val="nil"/>
              <w:bottom w:val="nil"/>
              <w:right w:val="nil"/>
            </w:tcBorders>
            <w:shd w:val="clear" w:color="auto" w:fill="auto"/>
            <w:vAlign w:val="center"/>
            <w:hideMark/>
          </w:tcPr>
          <w:p w14:paraId="04090AB4"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6.10%</w:t>
            </w:r>
          </w:p>
        </w:tc>
        <w:tc>
          <w:tcPr>
            <w:tcW w:w="1267" w:type="dxa"/>
            <w:tcBorders>
              <w:top w:val="nil"/>
              <w:left w:val="nil"/>
              <w:bottom w:val="nil"/>
              <w:right w:val="nil"/>
            </w:tcBorders>
            <w:shd w:val="clear" w:color="auto" w:fill="auto"/>
            <w:vAlign w:val="center"/>
            <w:hideMark/>
          </w:tcPr>
          <w:p w14:paraId="69EC5515"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76,801.45</w:t>
            </w:r>
          </w:p>
        </w:tc>
        <w:tc>
          <w:tcPr>
            <w:tcW w:w="827" w:type="dxa"/>
            <w:tcBorders>
              <w:top w:val="nil"/>
              <w:left w:val="nil"/>
              <w:bottom w:val="nil"/>
              <w:right w:val="nil"/>
            </w:tcBorders>
            <w:shd w:val="clear" w:color="auto" w:fill="auto"/>
            <w:vAlign w:val="center"/>
            <w:hideMark/>
          </w:tcPr>
          <w:p w14:paraId="2A890196"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0.60%</w:t>
            </w:r>
          </w:p>
        </w:tc>
        <w:tc>
          <w:tcPr>
            <w:tcW w:w="1267" w:type="dxa"/>
            <w:tcBorders>
              <w:top w:val="nil"/>
              <w:left w:val="nil"/>
              <w:bottom w:val="nil"/>
              <w:right w:val="nil"/>
            </w:tcBorders>
            <w:shd w:val="clear" w:color="auto" w:fill="auto"/>
            <w:vAlign w:val="center"/>
            <w:hideMark/>
          </w:tcPr>
          <w:p w14:paraId="650EB41A"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38,530.01</w:t>
            </w:r>
          </w:p>
        </w:tc>
        <w:tc>
          <w:tcPr>
            <w:tcW w:w="827" w:type="dxa"/>
            <w:tcBorders>
              <w:top w:val="nil"/>
              <w:left w:val="nil"/>
              <w:bottom w:val="nil"/>
              <w:right w:val="nil"/>
            </w:tcBorders>
            <w:shd w:val="clear" w:color="auto" w:fill="auto"/>
            <w:vAlign w:val="center"/>
            <w:hideMark/>
          </w:tcPr>
          <w:p w14:paraId="002036C5"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0.30%</w:t>
            </w:r>
          </w:p>
        </w:tc>
        <w:tc>
          <w:tcPr>
            <w:tcW w:w="1267" w:type="dxa"/>
            <w:tcBorders>
              <w:top w:val="nil"/>
              <w:left w:val="nil"/>
              <w:bottom w:val="nil"/>
              <w:right w:val="nil"/>
            </w:tcBorders>
            <w:shd w:val="clear" w:color="auto" w:fill="auto"/>
            <w:vAlign w:val="center"/>
            <w:hideMark/>
          </w:tcPr>
          <w:p w14:paraId="6EE1D790"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115,331.46</w:t>
            </w:r>
          </w:p>
        </w:tc>
        <w:tc>
          <w:tcPr>
            <w:tcW w:w="1005" w:type="dxa"/>
            <w:tcBorders>
              <w:top w:val="nil"/>
              <w:left w:val="nil"/>
              <w:bottom w:val="nil"/>
              <w:right w:val="nil"/>
            </w:tcBorders>
            <w:shd w:val="clear" w:color="auto" w:fill="auto"/>
            <w:vAlign w:val="center"/>
            <w:hideMark/>
          </w:tcPr>
          <w:p w14:paraId="6917B1C3"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1.00%</w:t>
            </w:r>
          </w:p>
        </w:tc>
      </w:tr>
      <w:tr w:rsidR="00225395" w:rsidRPr="00AD0142" w14:paraId="75455902" w14:textId="77777777" w:rsidTr="00FF2A33">
        <w:trPr>
          <w:trHeight w:val="2112"/>
        </w:trPr>
        <w:tc>
          <w:tcPr>
            <w:tcW w:w="320" w:type="dxa"/>
            <w:tcBorders>
              <w:top w:val="nil"/>
              <w:left w:val="nil"/>
              <w:bottom w:val="nil"/>
              <w:right w:val="nil"/>
            </w:tcBorders>
            <w:shd w:val="clear" w:color="000000" w:fill="E9EBF5"/>
            <w:vAlign w:val="center"/>
            <w:hideMark/>
          </w:tcPr>
          <w:p w14:paraId="4BE8FF46" w14:textId="77777777" w:rsidR="00225395" w:rsidRPr="00700FE0" w:rsidRDefault="00225395" w:rsidP="00FF2A33">
            <w:pPr>
              <w:spacing w:after="0" w:line="240" w:lineRule="auto"/>
              <w:jc w:val="center"/>
              <w:rPr>
                <w:rFonts w:ascii="Arial" w:eastAsia="Times New Roman" w:hAnsi="Arial" w:cs="Arial"/>
                <w:sz w:val="18"/>
                <w:szCs w:val="18"/>
              </w:rPr>
            </w:pPr>
            <w:r w:rsidRPr="00700FE0">
              <w:rPr>
                <w:rFonts w:ascii="Arial" w:eastAsia="Times New Roman" w:hAnsi="Arial" w:cs="Arial"/>
                <w:sz w:val="18"/>
                <w:szCs w:val="18"/>
              </w:rPr>
              <w:t>4</w:t>
            </w:r>
          </w:p>
        </w:tc>
        <w:tc>
          <w:tcPr>
            <w:tcW w:w="1915" w:type="dxa"/>
            <w:tcBorders>
              <w:top w:val="nil"/>
              <w:left w:val="nil"/>
              <w:bottom w:val="nil"/>
              <w:right w:val="nil"/>
            </w:tcBorders>
            <w:shd w:val="clear" w:color="000000" w:fill="E9EBF5"/>
            <w:vAlign w:val="center"/>
            <w:hideMark/>
          </w:tcPr>
          <w:p w14:paraId="44960429"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Creation of a center for increasing the accessibility of stock market training services and information</w:t>
            </w:r>
          </w:p>
        </w:tc>
        <w:tc>
          <w:tcPr>
            <w:tcW w:w="1368" w:type="dxa"/>
            <w:tcBorders>
              <w:top w:val="nil"/>
              <w:left w:val="nil"/>
              <w:bottom w:val="nil"/>
              <w:right w:val="nil"/>
            </w:tcBorders>
            <w:shd w:val="clear" w:color="000000" w:fill="E9EBF5"/>
            <w:vAlign w:val="center"/>
            <w:hideMark/>
          </w:tcPr>
          <w:p w14:paraId="4A2A69AB"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2,323,573.26</w:t>
            </w:r>
          </w:p>
        </w:tc>
        <w:tc>
          <w:tcPr>
            <w:tcW w:w="827" w:type="dxa"/>
            <w:tcBorders>
              <w:top w:val="nil"/>
              <w:left w:val="nil"/>
              <w:bottom w:val="nil"/>
              <w:right w:val="nil"/>
            </w:tcBorders>
            <w:shd w:val="clear" w:color="000000" w:fill="E9EBF5"/>
            <w:vAlign w:val="center"/>
            <w:hideMark/>
          </w:tcPr>
          <w:p w14:paraId="5824979E"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19.50%</w:t>
            </w:r>
          </w:p>
        </w:tc>
        <w:tc>
          <w:tcPr>
            <w:tcW w:w="1267" w:type="dxa"/>
            <w:tcBorders>
              <w:top w:val="nil"/>
              <w:left w:val="nil"/>
              <w:bottom w:val="nil"/>
              <w:right w:val="nil"/>
            </w:tcBorders>
            <w:shd w:val="clear" w:color="000000" w:fill="E9EBF5"/>
            <w:vAlign w:val="center"/>
            <w:hideMark/>
          </w:tcPr>
          <w:p w14:paraId="0ED961B7"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79,417.25</w:t>
            </w:r>
          </w:p>
        </w:tc>
        <w:tc>
          <w:tcPr>
            <w:tcW w:w="827" w:type="dxa"/>
            <w:tcBorders>
              <w:top w:val="nil"/>
              <w:left w:val="nil"/>
              <w:bottom w:val="nil"/>
              <w:right w:val="nil"/>
            </w:tcBorders>
            <w:shd w:val="clear" w:color="000000" w:fill="E9EBF5"/>
            <w:vAlign w:val="center"/>
            <w:hideMark/>
          </w:tcPr>
          <w:p w14:paraId="448670BD"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0.70%</w:t>
            </w:r>
          </w:p>
        </w:tc>
        <w:tc>
          <w:tcPr>
            <w:tcW w:w="1267" w:type="dxa"/>
            <w:tcBorders>
              <w:top w:val="nil"/>
              <w:left w:val="nil"/>
              <w:bottom w:val="nil"/>
              <w:right w:val="nil"/>
            </w:tcBorders>
            <w:shd w:val="clear" w:color="000000" w:fill="E9EBF5"/>
            <w:vAlign w:val="center"/>
            <w:hideMark/>
          </w:tcPr>
          <w:p w14:paraId="749FD288"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2,103,184.98</w:t>
            </w:r>
          </w:p>
        </w:tc>
        <w:tc>
          <w:tcPr>
            <w:tcW w:w="827" w:type="dxa"/>
            <w:tcBorders>
              <w:top w:val="nil"/>
              <w:left w:val="nil"/>
              <w:bottom w:val="nil"/>
              <w:right w:val="nil"/>
            </w:tcBorders>
            <w:shd w:val="clear" w:color="000000" w:fill="E9EBF5"/>
            <w:vAlign w:val="center"/>
            <w:hideMark/>
          </w:tcPr>
          <w:p w14:paraId="325C9D60"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17.70%</w:t>
            </w:r>
          </w:p>
        </w:tc>
        <w:tc>
          <w:tcPr>
            <w:tcW w:w="1267" w:type="dxa"/>
            <w:tcBorders>
              <w:top w:val="nil"/>
              <w:left w:val="nil"/>
              <w:bottom w:val="nil"/>
              <w:right w:val="nil"/>
            </w:tcBorders>
            <w:shd w:val="clear" w:color="000000" w:fill="E9EBF5"/>
            <w:vAlign w:val="center"/>
            <w:hideMark/>
          </w:tcPr>
          <w:p w14:paraId="260E29FE"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2,182,602.23</w:t>
            </w:r>
          </w:p>
        </w:tc>
        <w:tc>
          <w:tcPr>
            <w:tcW w:w="1005" w:type="dxa"/>
            <w:tcBorders>
              <w:top w:val="nil"/>
              <w:left w:val="nil"/>
              <w:bottom w:val="nil"/>
              <w:right w:val="nil"/>
            </w:tcBorders>
            <w:shd w:val="clear" w:color="000000" w:fill="E9EBF5"/>
            <w:vAlign w:val="center"/>
            <w:hideMark/>
          </w:tcPr>
          <w:p w14:paraId="086DBF02" w14:textId="77777777" w:rsidR="00225395" w:rsidRPr="00700FE0" w:rsidRDefault="00225395" w:rsidP="00FF2A33">
            <w:pPr>
              <w:spacing w:after="0" w:line="240" w:lineRule="auto"/>
              <w:jc w:val="right"/>
              <w:rPr>
                <w:rFonts w:ascii="Arial" w:eastAsia="Times New Roman" w:hAnsi="Arial" w:cs="Arial"/>
                <w:sz w:val="18"/>
                <w:szCs w:val="18"/>
              </w:rPr>
            </w:pPr>
            <w:r w:rsidRPr="00700FE0">
              <w:rPr>
                <w:rFonts w:ascii="Arial" w:eastAsia="Times New Roman" w:hAnsi="Arial" w:cs="Arial"/>
                <w:sz w:val="18"/>
                <w:szCs w:val="18"/>
              </w:rPr>
              <w:t>18.30%</w:t>
            </w:r>
          </w:p>
        </w:tc>
      </w:tr>
      <w:tr w:rsidR="00225395" w:rsidRPr="00AD0142" w14:paraId="1E11B6A2" w14:textId="77777777" w:rsidTr="00FF2A33">
        <w:trPr>
          <w:trHeight w:val="300"/>
        </w:trPr>
        <w:tc>
          <w:tcPr>
            <w:tcW w:w="320" w:type="dxa"/>
            <w:tcBorders>
              <w:top w:val="nil"/>
              <w:left w:val="nil"/>
              <w:bottom w:val="single" w:sz="8" w:space="0" w:color="4472C4"/>
              <w:right w:val="nil"/>
            </w:tcBorders>
            <w:shd w:val="clear" w:color="auto" w:fill="auto"/>
            <w:vAlign w:val="center"/>
            <w:hideMark/>
          </w:tcPr>
          <w:p w14:paraId="0074A528" w14:textId="77777777" w:rsidR="00225395" w:rsidRPr="00700FE0" w:rsidRDefault="00225395" w:rsidP="00FF2A33">
            <w:pPr>
              <w:spacing w:after="0" w:line="240" w:lineRule="auto"/>
              <w:rPr>
                <w:rFonts w:ascii="Arial" w:eastAsia="Times New Roman" w:hAnsi="Arial" w:cs="Arial"/>
                <w:sz w:val="18"/>
                <w:szCs w:val="18"/>
              </w:rPr>
            </w:pPr>
            <w:r w:rsidRPr="00700FE0">
              <w:rPr>
                <w:rFonts w:ascii="Arial" w:eastAsia="Times New Roman" w:hAnsi="Arial" w:cs="Arial"/>
                <w:sz w:val="18"/>
                <w:szCs w:val="18"/>
              </w:rPr>
              <w:t> </w:t>
            </w:r>
          </w:p>
        </w:tc>
        <w:tc>
          <w:tcPr>
            <w:tcW w:w="1915" w:type="dxa"/>
            <w:tcBorders>
              <w:top w:val="nil"/>
              <w:left w:val="nil"/>
              <w:bottom w:val="single" w:sz="8" w:space="0" w:color="4472C4"/>
              <w:right w:val="nil"/>
            </w:tcBorders>
            <w:shd w:val="clear" w:color="auto" w:fill="auto"/>
            <w:vAlign w:val="center"/>
            <w:hideMark/>
          </w:tcPr>
          <w:p w14:paraId="15F093B9" w14:textId="77777777" w:rsidR="00225395" w:rsidRPr="00700FE0" w:rsidRDefault="00225395" w:rsidP="00FF2A33">
            <w:pPr>
              <w:spacing w:after="0" w:line="240" w:lineRule="auto"/>
              <w:rPr>
                <w:rFonts w:ascii="Arial" w:eastAsia="Times New Roman" w:hAnsi="Arial" w:cs="Arial"/>
                <w:b/>
                <w:bCs/>
                <w:sz w:val="18"/>
                <w:szCs w:val="18"/>
              </w:rPr>
            </w:pPr>
            <w:r w:rsidRPr="00700FE0">
              <w:rPr>
                <w:rFonts w:ascii="Arial" w:eastAsia="Times New Roman" w:hAnsi="Arial" w:cs="Arial"/>
                <w:b/>
                <w:bCs/>
                <w:sz w:val="18"/>
                <w:szCs w:val="18"/>
              </w:rPr>
              <w:t>Total</w:t>
            </w:r>
          </w:p>
        </w:tc>
        <w:tc>
          <w:tcPr>
            <w:tcW w:w="1368" w:type="dxa"/>
            <w:tcBorders>
              <w:top w:val="nil"/>
              <w:left w:val="nil"/>
              <w:bottom w:val="single" w:sz="8" w:space="0" w:color="4472C4"/>
              <w:right w:val="nil"/>
            </w:tcBorders>
            <w:shd w:val="clear" w:color="auto" w:fill="auto"/>
            <w:vAlign w:val="center"/>
            <w:hideMark/>
          </w:tcPr>
          <w:p w14:paraId="495FEFC8" w14:textId="77777777" w:rsidR="00225395" w:rsidRPr="00700FE0" w:rsidRDefault="00225395" w:rsidP="00FF2A33">
            <w:pPr>
              <w:spacing w:after="0" w:line="240" w:lineRule="auto"/>
              <w:jc w:val="right"/>
              <w:rPr>
                <w:rFonts w:ascii="Arial" w:eastAsia="Times New Roman" w:hAnsi="Arial" w:cs="Arial"/>
                <w:b/>
                <w:bCs/>
                <w:sz w:val="18"/>
                <w:szCs w:val="18"/>
              </w:rPr>
            </w:pPr>
            <w:r w:rsidRPr="00700FE0">
              <w:rPr>
                <w:rFonts w:ascii="Arial" w:eastAsia="Times New Roman" w:hAnsi="Arial" w:cs="Arial"/>
                <w:b/>
                <w:bCs/>
                <w:sz w:val="18"/>
                <w:szCs w:val="18"/>
              </w:rPr>
              <w:t>11,915,760.30</w:t>
            </w:r>
          </w:p>
        </w:tc>
        <w:tc>
          <w:tcPr>
            <w:tcW w:w="827" w:type="dxa"/>
            <w:tcBorders>
              <w:top w:val="nil"/>
              <w:left w:val="nil"/>
              <w:bottom w:val="single" w:sz="8" w:space="0" w:color="4472C4"/>
              <w:right w:val="nil"/>
            </w:tcBorders>
            <w:shd w:val="clear" w:color="auto" w:fill="auto"/>
            <w:vAlign w:val="center"/>
            <w:hideMark/>
          </w:tcPr>
          <w:p w14:paraId="007EAD41" w14:textId="77777777" w:rsidR="00225395" w:rsidRPr="00700FE0" w:rsidRDefault="00225395" w:rsidP="00FF2A33">
            <w:pPr>
              <w:spacing w:after="0" w:line="240" w:lineRule="auto"/>
              <w:jc w:val="right"/>
              <w:rPr>
                <w:rFonts w:ascii="Arial" w:eastAsia="Times New Roman" w:hAnsi="Arial" w:cs="Arial"/>
                <w:b/>
                <w:bCs/>
                <w:sz w:val="18"/>
                <w:szCs w:val="18"/>
              </w:rPr>
            </w:pPr>
            <w:r w:rsidRPr="00700FE0">
              <w:rPr>
                <w:rFonts w:ascii="Arial" w:eastAsia="Times New Roman" w:hAnsi="Arial" w:cs="Arial"/>
                <w:b/>
                <w:bCs/>
                <w:sz w:val="18"/>
                <w:szCs w:val="18"/>
              </w:rPr>
              <w:t>100%</w:t>
            </w:r>
          </w:p>
        </w:tc>
        <w:tc>
          <w:tcPr>
            <w:tcW w:w="1267" w:type="dxa"/>
            <w:tcBorders>
              <w:top w:val="nil"/>
              <w:left w:val="nil"/>
              <w:bottom w:val="single" w:sz="8" w:space="0" w:color="4472C4"/>
              <w:right w:val="nil"/>
            </w:tcBorders>
            <w:shd w:val="clear" w:color="auto" w:fill="auto"/>
            <w:vAlign w:val="center"/>
            <w:hideMark/>
          </w:tcPr>
          <w:p w14:paraId="16C94D77" w14:textId="77777777" w:rsidR="00225395" w:rsidRPr="00700FE0" w:rsidRDefault="00225395" w:rsidP="00FF2A33">
            <w:pPr>
              <w:spacing w:after="0" w:line="240" w:lineRule="auto"/>
              <w:jc w:val="right"/>
              <w:rPr>
                <w:rFonts w:ascii="Arial" w:eastAsia="Times New Roman" w:hAnsi="Arial" w:cs="Arial"/>
                <w:b/>
                <w:bCs/>
                <w:sz w:val="18"/>
                <w:szCs w:val="18"/>
              </w:rPr>
            </w:pPr>
            <w:r w:rsidRPr="00700FE0">
              <w:rPr>
                <w:rFonts w:ascii="Arial" w:eastAsia="Times New Roman" w:hAnsi="Arial" w:cs="Arial"/>
                <w:b/>
                <w:bCs/>
                <w:sz w:val="18"/>
                <w:szCs w:val="18"/>
              </w:rPr>
              <w:t>1,487,111.98</w:t>
            </w:r>
          </w:p>
        </w:tc>
        <w:tc>
          <w:tcPr>
            <w:tcW w:w="827" w:type="dxa"/>
            <w:tcBorders>
              <w:top w:val="nil"/>
              <w:left w:val="nil"/>
              <w:bottom w:val="single" w:sz="8" w:space="0" w:color="4472C4"/>
              <w:right w:val="nil"/>
            </w:tcBorders>
            <w:shd w:val="clear" w:color="auto" w:fill="auto"/>
            <w:vAlign w:val="center"/>
            <w:hideMark/>
          </w:tcPr>
          <w:p w14:paraId="43AD8035" w14:textId="77777777" w:rsidR="00225395" w:rsidRPr="00700FE0" w:rsidRDefault="00225395" w:rsidP="00FF2A33">
            <w:pPr>
              <w:spacing w:after="0" w:line="240" w:lineRule="auto"/>
              <w:jc w:val="right"/>
              <w:rPr>
                <w:rFonts w:ascii="Arial" w:eastAsia="Times New Roman" w:hAnsi="Arial" w:cs="Arial"/>
                <w:b/>
                <w:bCs/>
                <w:sz w:val="18"/>
                <w:szCs w:val="18"/>
              </w:rPr>
            </w:pPr>
            <w:r w:rsidRPr="00700FE0">
              <w:rPr>
                <w:rFonts w:ascii="Arial" w:eastAsia="Times New Roman" w:hAnsi="Arial" w:cs="Arial"/>
                <w:b/>
                <w:bCs/>
                <w:sz w:val="18"/>
                <w:szCs w:val="18"/>
              </w:rPr>
              <w:t>12.50%</w:t>
            </w:r>
          </w:p>
        </w:tc>
        <w:tc>
          <w:tcPr>
            <w:tcW w:w="1267" w:type="dxa"/>
            <w:tcBorders>
              <w:top w:val="nil"/>
              <w:left w:val="nil"/>
              <w:bottom w:val="single" w:sz="8" w:space="0" w:color="4472C4"/>
              <w:right w:val="nil"/>
            </w:tcBorders>
            <w:shd w:val="clear" w:color="auto" w:fill="auto"/>
            <w:vAlign w:val="center"/>
            <w:hideMark/>
          </w:tcPr>
          <w:p w14:paraId="721C5C83" w14:textId="77777777" w:rsidR="00225395" w:rsidRPr="00700FE0" w:rsidRDefault="00225395" w:rsidP="00FF2A33">
            <w:pPr>
              <w:spacing w:after="0" w:line="240" w:lineRule="auto"/>
              <w:jc w:val="right"/>
              <w:rPr>
                <w:rFonts w:ascii="Arial" w:eastAsia="Times New Roman" w:hAnsi="Arial" w:cs="Arial"/>
                <w:b/>
                <w:bCs/>
                <w:sz w:val="18"/>
                <w:szCs w:val="18"/>
              </w:rPr>
            </w:pPr>
            <w:r w:rsidRPr="00700FE0">
              <w:rPr>
                <w:rFonts w:ascii="Arial" w:eastAsia="Times New Roman" w:hAnsi="Arial" w:cs="Arial"/>
                <w:b/>
                <w:bCs/>
                <w:sz w:val="18"/>
                <w:szCs w:val="18"/>
              </w:rPr>
              <w:t>3,211,991.47</w:t>
            </w:r>
          </w:p>
        </w:tc>
        <w:tc>
          <w:tcPr>
            <w:tcW w:w="827" w:type="dxa"/>
            <w:tcBorders>
              <w:top w:val="nil"/>
              <w:left w:val="nil"/>
              <w:bottom w:val="single" w:sz="8" w:space="0" w:color="4472C4"/>
              <w:right w:val="nil"/>
            </w:tcBorders>
            <w:shd w:val="clear" w:color="auto" w:fill="auto"/>
            <w:vAlign w:val="center"/>
            <w:hideMark/>
          </w:tcPr>
          <w:p w14:paraId="4515FB49" w14:textId="77777777" w:rsidR="00225395" w:rsidRPr="00700FE0" w:rsidRDefault="00225395" w:rsidP="00FF2A33">
            <w:pPr>
              <w:spacing w:after="0" w:line="240" w:lineRule="auto"/>
              <w:jc w:val="right"/>
              <w:rPr>
                <w:rFonts w:ascii="Arial" w:eastAsia="Times New Roman" w:hAnsi="Arial" w:cs="Arial"/>
                <w:b/>
                <w:bCs/>
                <w:sz w:val="18"/>
                <w:szCs w:val="18"/>
              </w:rPr>
            </w:pPr>
            <w:r w:rsidRPr="00700FE0">
              <w:rPr>
                <w:rFonts w:ascii="Arial" w:eastAsia="Times New Roman" w:hAnsi="Arial" w:cs="Arial"/>
                <w:b/>
                <w:bCs/>
                <w:sz w:val="18"/>
                <w:szCs w:val="18"/>
              </w:rPr>
              <w:t>27%</w:t>
            </w:r>
          </w:p>
        </w:tc>
        <w:tc>
          <w:tcPr>
            <w:tcW w:w="1267" w:type="dxa"/>
            <w:tcBorders>
              <w:top w:val="nil"/>
              <w:left w:val="nil"/>
              <w:bottom w:val="single" w:sz="8" w:space="0" w:color="4472C4"/>
              <w:right w:val="nil"/>
            </w:tcBorders>
            <w:shd w:val="clear" w:color="auto" w:fill="auto"/>
            <w:vAlign w:val="center"/>
            <w:hideMark/>
          </w:tcPr>
          <w:p w14:paraId="7755F65C" w14:textId="77777777" w:rsidR="00225395" w:rsidRPr="00700FE0" w:rsidRDefault="00225395" w:rsidP="00FF2A33">
            <w:pPr>
              <w:spacing w:after="0" w:line="240" w:lineRule="auto"/>
              <w:jc w:val="right"/>
              <w:rPr>
                <w:rFonts w:ascii="Arial" w:eastAsia="Times New Roman" w:hAnsi="Arial" w:cs="Arial"/>
                <w:b/>
                <w:bCs/>
                <w:sz w:val="18"/>
                <w:szCs w:val="18"/>
              </w:rPr>
            </w:pPr>
            <w:r w:rsidRPr="00700FE0">
              <w:rPr>
                <w:rFonts w:ascii="Arial" w:eastAsia="Times New Roman" w:hAnsi="Arial" w:cs="Arial"/>
                <w:b/>
                <w:bCs/>
                <w:sz w:val="18"/>
                <w:szCs w:val="18"/>
              </w:rPr>
              <w:t>4,699,103.45</w:t>
            </w:r>
          </w:p>
        </w:tc>
        <w:tc>
          <w:tcPr>
            <w:tcW w:w="1005" w:type="dxa"/>
            <w:tcBorders>
              <w:top w:val="nil"/>
              <w:left w:val="nil"/>
              <w:bottom w:val="single" w:sz="8" w:space="0" w:color="4472C4"/>
              <w:right w:val="nil"/>
            </w:tcBorders>
            <w:shd w:val="clear" w:color="auto" w:fill="auto"/>
            <w:vAlign w:val="center"/>
            <w:hideMark/>
          </w:tcPr>
          <w:p w14:paraId="37D91545" w14:textId="77777777" w:rsidR="00225395" w:rsidRPr="00700FE0" w:rsidRDefault="00225395" w:rsidP="00FF2A33">
            <w:pPr>
              <w:spacing w:after="0" w:line="240" w:lineRule="auto"/>
              <w:jc w:val="right"/>
              <w:rPr>
                <w:rFonts w:ascii="Arial" w:eastAsia="Times New Roman" w:hAnsi="Arial" w:cs="Arial"/>
                <w:b/>
                <w:bCs/>
                <w:sz w:val="18"/>
                <w:szCs w:val="18"/>
              </w:rPr>
            </w:pPr>
            <w:r w:rsidRPr="00700FE0">
              <w:rPr>
                <w:rFonts w:ascii="Arial" w:eastAsia="Times New Roman" w:hAnsi="Arial" w:cs="Arial"/>
                <w:b/>
                <w:bCs/>
                <w:sz w:val="18"/>
                <w:szCs w:val="18"/>
              </w:rPr>
              <w:t>39.40%</w:t>
            </w:r>
          </w:p>
        </w:tc>
      </w:tr>
    </w:tbl>
    <w:p w14:paraId="28983208" w14:textId="77777777" w:rsidR="00225395" w:rsidRPr="00EB2AD9" w:rsidRDefault="00225395" w:rsidP="00225395">
      <w:pPr>
        <w:spacing w:after="0"/>
        <w:ind w:firstLine="720"/>
        <w:jc w:val="both"/>
        <w:rPr>
          <w:rFonts w:ascii="Arial" w:hAnsi="Arial" w:cs="Arial"/>
          <w:sz w:val="22"/>
        </w:rPr>
      </w:pPr>
    </w:p>
    <w:p w14:paraId="71C413D3" w14:textId="77777777" w:rsidR="00225395" w:rsidRPr="00EB2AD9" w:rsidRDefault="00225395" w:rsidP="00225395">
      <w:pPr>
        <w:spacing w:after="0" w:line="276" w:lineRule="auto"/>
        <w:ind w:firstLine="720"/>
        <w:jc w:val="both"/>
        <w:rPr>
          <w:rFonts w:ascii="Arial" w:hAnsi="Arial" w:cs="Arial"/>
          <w:sz w:val="22"/>
        </w:rPr>
      </w:pPr>
      <w:r w:rsidRPr="00EB2AD9">
        <w:rPr>
          <w:rFonts w:ascii="Arial" w:hAnsi="Arial" w:cs="Arial"/>
          <w:sz w:val="22"/>
        </w:rPr>
        <w:t>The purchase of goods, works, and services included in the fund plan is being implemented in stages in accordance with the purpose of the law "On the purchase of goods, works, and services with state and local property funds" and the company's securities prospectus.</w:t>
      </w:r>
    </w:p>
    <w:p w14:paraId="0A398B54" w14:textId="77777777" w:rsidR="00225395" w:rsidRPr="00EB2AD9" w:rsidRDefault="00225395" w:rsidP="00225395">
      <w:pPr>
        <w:spacing w:after="0"/>
        <w:ind w:firstLine="720"/>
        <w:jc w:val="center"/>
        <w:rPr>
          <w:rFonts w:ascii="Arial" w:hAnsi="Arial" w:cs="Arial"/>
          <w:sz w:val="22"/>
        </w:rPr>
      </w:pPr>
    </w:p>
    <w:p w14:paraId="5CA2CACA" w14:textId="77777777" w:rsidR="00225395" w:rsidRPr="00EB2AD9" w:rsidRDefault="00225395" w:rsidP="00225395">
      <w:pPr>
        <w:spacing w:after="0"/>
        <w:ind w:firstLine="720"/>
        <w:jc w:val="center"/>
        <w:rPr>
          <w:rFonts w:ascii="Arial" w:hAnsi="Arial" w:cs="Arial"/>
          <w:sz w:val="22"/>
        </w:rPr>
      </w:pPr>
    </w:p>
    <w:p w14:paraId="6C4A86D7" w14:textId="77777777" w:rsidR="00225395" w:rsidRPr="00EB2AD9" w:rsidRDefault="00225395" w:rsidP="00225395">
      <w:pPr>
        <w:jc w:val="center"/>
        <w:rPr>
          <w:rFonts w:ascii="Arial" w:hAnsi="Arial" w:cs="Arial"/>
          <w:i/>
          <w:iCs/>
          <w:sz w:val="22"/>
        </w:rPr>
      </w:pPr>
      <w:r w:rsidRPr="00EB2AD9">
        <w:rPr>
          <w:rFonts w:ascii="Arial" w:hAnsi="Arial" w:cs="Arial"/>
          <w:sz w:val="22"/>
        </w:rPr>
        <w:t>Report prepared by: Department of Administration and Finance</w:t>
      </w:r>
    </w:p>
    <w:p w14:paraId="29750790" w14:textId="77777777" w:rsidR="00A55836" w:rsidRPr="00EB2AD9" w:rsidRDefault="00A55836" w:rsidP="00A55836">
      <w:pPr>
        <w:jc w:val="center"/>
        <w:rPr>
          <w:rFonts w:ascii="Arial" w:hAnsi="Arial" w:cs="Arial"/>
          <w:sz w:val="22"/>
        </w:rPr>
      </w:pPr>
    </w:p>
    <w:sectPr w:rsidR="00A55836" w:rsidRPr="00EB2AD9" w:rsidSect="008C3110">
      <w:pgSz w:w="11906" w:h="16838" w:code="9"/>
      <w:pgMar w:top="1440" w:right="1646" w:bottom="900" w:left="13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7A29"/>
    <w:multiLevelType w:val="hybridMultilevel"/>
    <w:tmpl w:val="6F7A296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15:restartNumberingAfterBreak="0">
    <w:nsid w:val="15162A2F"/>
    <w:multiLevelType w:val="multilevel"/>
    <w:tmpl w:val="0DBA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4754F"/>
    <w:multiLevelType w:val="multilevel"/>
    <w:tmpl w:val="2CEA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D3DBB"/>
    <w:multiLevelType w:val="hybridMultilevel"/>
    <w:tmpl w:val="0E900406"/>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2D3E5D9C"/>
    <w:multiLevelType w:val="hybridMultilevel"/>
    <w:tmpl w:val="EEEA33D2"/>
    <w:lvl w:ilvl="0" w:tplc="47783436">
      <w:start w:val="1"/>
      <w:numFmt w:val="bullet"/>
      <w:lvlText w:val=""/>
      <w:lvlJc w:val="left"/>
      <w:pPr>
        <w:ind w:left="720" w:hanging="360"/>
      </w:pPr>
      <w:rPr>
        <w:rFonts w:ascii="Wingdings" w:hAnsi="Wingdings" w:hint="default"/>
        <w:color w:val="00418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16F36"/>
    <w:multiLevelType w:val="hybridMultilevel"/>
    <w:tmpl w:val="7516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C4EF2"/>
    <w:multiLevelType w:val="hybridMultilevel"/>
    <w:tmpl w:val="C4FE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73438"/>
    <w:multiLevelType w:val="multilevel"/>
    <w:tmpl w:val="FA36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2758E"/>
    <w:multiLevelType w:val="hybridMultilevel"/>
    <w:tmpl w:val="C7C0AC4C"/>
    <w:lvl w:ilvl="0" w:tplc="04500001">
      <w:start w:val="1"/>
      <w:numFmt w:val="bullet"/>
      <w:lvlText w:val=""/>
      <w:lvlJc w:val="left"/>
      <w:pPr>
        <w:ind w:left="765" w:hanging="360"/>
      </w:pPr>
      <w:rPr>
        <w:rFonts w:ascii="Symbol" w:hAnsi="Symbol" w:hint="default"/>
      </w:rPr>
    </w:lvl>
    <w:lvl w:ilvl="1" w:tplc="04500003" w:tentative="1">
      <w:start w:val="1"/>
      <w:numFmt w:val="bullet"/>
      <w:lvlText w:val="o"/>
      <w:lvlJc w:val="left"/>
      <w:pPr>
        <w:ind w:left="1485" w:hanging="360"/>
      </w:pPr>
      <w:rPr>
        <w:rFonts w:ascii="Courier New" w:hAnsi="Courier New" w:cs="Courier New" w:hint="default"/>
      </w:rPr>
    </w:lvl>
    <w:lvl w:ilvl="2" w:tplc="04500005" w:tentative="1">
      <w:start w:val="1"/>
      <w:numFmt w:val="bullet"/>
      <w:lvlText w:val=""/>
      <w:lvlJc w:val="left"/>
      <w:pPr>
        <w:ind w:left="2205" w:hanging="360"/>
      </w:pPr>
      <w:rPr>
        <w:rFonts w:ascii="Wingdings" w:hAnsi="Wingdings" w:hint="default"/>
      </w:rPr>
    </w:lvl>
    <w:lvl w:ilvl="3" w:tplc="04500001" w:tentative="1">
      <w:start w:val="1"/>
      <w:numFmt w:val="bullet"/>
      <w:lvlText w:val=""/>
      <w:lvlJc w:val="left"/>
      <w:pPr>
        <w:ind w:left="2925" w:hanging="360"/>
      </w:pPr>
      <w:rPr>
        <w:rFonts w:ascii="Symbol" w:hAnsi="Symbol" w:hint="default"/>
      </w:rPr>
    </w:lvl>
    <w:lvl w:ilvl="4" w:tplc="04500003" w:tentative="1">
      <w:start w:val="1"/>
      <w:numFmt w:val="bullet"/>
      <w:lvlText w:val="o"/>
      <w:lvlJc w:val="left"/>
      <w:pPr>
        <w:ind w:left="3645" w:hanging="360"/>
      </w:pPr>
      <w:rPr>
        <w:rFonts w:ascii="Courier New" w:hAnsi="Courier New" w:cs="Courier New" w:hint="default"/>
      </w:rPr>
    </w:lvl>
    <w:lvl w:ilvl="5" w:tplc="04500005" w:tentative="1">
      <w:start w:val="1"/>
      <w:numFmt w:val="bullet"/>
      <w:lvlText w:val=""/>
      <w:lvlJc w:val="left"/>
      <w:pPr>
        <w:ind w:left="4365" w:hanging="360"/>
      </w:pPr>
      <w:rPr>
        <w:rFonts w:ascii="Wingdings" w:hAnsi="Wingdings" w:hint="default"/>
      </w:rPr>
    </w:lvl>
    <w:lvl w:ilvl="6" w:tplc="04500001" w:tentative="1">
      <w:start w:val="1"/>
      <w:numFmt w:val="bullet"/>
      <w:lvlText w:val=""/>
      <w:lvlJc w:val="left"/>
      <w:pPr>
        <w:ind w:left="5085" w:hanging="360"/>
      </w:pPr>
      <w:rPr>
        <w:rFonts w:ascii="Symbol" w:hAnsi="Symbol" w:hint="default"/>
      </w:rPr>
    </w:lvl>
    <w:lvl w:ilvl="7" w:tplc="04500003" w:tentative="1">
      <w:start w:val="1"/>
      <w:numFmt w:val="bullet"/>
      <w:lvlText w:val="o"/>
      <w:lvlJc w:val="left"/>
      <w:pPr>
        <w:ind w:left="5805" w:hanging="360"/>
      </w:pPr>
      <w:rPr>
        <w:rFonts w:ascii="Courier New" w:hAnsi="Courier New" w:cs="Courier New" w:hint="default"/>
      </w:rPr>
    </w:lvl>
    <w:lvl w:ilvl="8" w:tplc="04500005" w:tentative="1">
      <w:start w:val="1"/>
      <w:numFmt w:val="bullet"/>
      <w:lvlText w:val=""/>
      <w:lvlJc w:val="left"/>
      <w:pPr>
        <w:ind w:left="6525" w:hanging="360"/>
      </w:pPr>
      <w:rPr>
        <w:rFonts w:ascii="Wingdings" w:hAnsi="Wingdings" w:hint="default"/>
      </w:rPr>
    </w:lvl>
  </w:abstractNum>
  <w:abstractNum w:abstractNumId="9" w15:restartNumberingAfterBreak="0">
    <w:nsid w:val="4F972A99"/>
    <w:multiLevelType w:val="multilevel"/>
    <w:tmpl w:val="C65E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A7B1C"/>
    <w:multiLevelType w:val="multilevel"/>
    <w:tmpl w:val="7E4C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96FBA"/>
    <w:multiLevelType w:val="multilevel"/>
    <w:tmpl w:val="224C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8555F"/>
    <w:multiLevelType w:val="hybridMultilevel"/>
    <w:tmpl w:val="E146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1159D"/>
    <w:multiLevelType w:val="multilevel"/>
    <w:tmpl w:val="BEB4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32FF1"/>
    <w:multiLevelType w:val="hybridMultilevel"/>
    <w:tmpl w:val="DF127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8"/>
  </w:num>
  <w:num w:numId="5">
    <w:abstractNumId w:val="1"/>
  </w:num>
  <w:num w:numId="6">
    <w:abstractNumId w:val="13"/>
  </w:num>
  <w:num w:numId="7">
    <w:abstractNumId w:val="7"/>
  </w:num>
  <w:num w:numId="8">
    <w:abstractNumId w:val="11"/>
  </w:num>
  <w:num w:numId="9">
    <w:abstractNumId w:val="6"/>
  </w:num>
  <w:num w:numId="10">
    <w:abstractNumId w:val="2"/>
  </w:num>
  <w:num w:numId="11">
    <w:abstractNumId w:val="9"/>
  </w:num>
  <w:num w:numId="12">
    <w:abstractNumId w:val="3"/>
  </w:num>
  <w:num w:numId="13">
    <w:abstractNumId w:val="1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7B"/>
    <w:rsid w:val="00012A58"/>
    <w:rsid w:val="00013D12"/>
    <w:rsid w:val="00035673"/>
    <w:rsid w:val="00060F78"/>
    <w:rsid w:val="00063EEA"/>
    <w:rsid w:val="000777FB"/>
    <w:rsid w:val="00082BE4"/>
    <w:rsid w:val="000E6368"/>
    <w:rsid w:val="00106B26"/>
    <w:rsid w:val="001134A8"/>
    <w:rsid w:val="0011531E"/>
    <w:rsid w:val="0011566A"/>
    <w:rsid w:val="00130550"/>
    <w:rsid w:val="0014210E"/>
    <w:rsid w:val="001531B2"/>
    <w:rsid w:val="00164885"/>
    <w:rsid w:val="00164C98"/>
    <w:rsid w:val="001656F5"/>
    <w:rsid w:val="00173479"/>
    <w:rsid w:val="001A1364"/>
    <w:rsid w:val="001B61BF"/>
    <w:rsid w:val="001C3DE4"/>
    <w:rsid w:val="001C4823"/>
    <w:rsid w:val="001D25AD"/>
    <w:rsid w:val="001E1582"/>
    <w:rsid w:val="001E1E3D"/>
    <w:rsid w:val="001E1E40"/>
    <w:rsid w:val="001E60D4"/>
    <w:rsid w:val="001F1F8D"/>
    <w:rsid w:val="001F55DC"/>
    <w:rsid w:val="00225395"/>
    <w:rsid w:val="00235C6B"/>
    <w:rsid w:val="00297FF0"/>
    <w:rsid w:val="002A565E"/>
    <w:rsid w:val="002C4A64"/>
    <w:rsid w:val="002D371F"/>
    <w:rsid w:val="002E2A21"/>
    <w:rsid w:val="002E4882"/>
    <w:rsid w:val="00300A7F"/>
    <w:rsid w:val="003019CB"/>
    <w:rsid w:val="00301AC8"/>
    <w:rsid w:val="0031356F"/>
    <w:rsid w:val="00344D5B"/>
    <w:rsid w:val="00345247"/>
    <w:rsid w:val="00367F84"/>
    <w:rsid w:val="0037000A"/>
    <w:rsid w:val="00375227"/>
    <w:rsid w:val="00383941"/>
    <w:rsid w:val="00384036"/>
    <w:rsid w:val="003D46D6"/>
    <w:rsid w:val="003D52FF"/>
    <w:rsid w:val="0040364E"/>
    <w:rsid w:val="00417B86"/>
    <w:rsid w:val="004236E9"/>
    <w:rsid w:val="00431338"/>
    <w:rsid w:val="00433644"/>
    <w:rsid w:val="00462FE1"/>
    <w:rsid w:val="004724E9"/>
    <w:rsid w:val="00493228"/>
    <w:rsid w:val="00494698"/>
    <w:rsid w:val="004A3601"/>
    <w:rsid w:val="004A467B"/>
    <w:rsid w:val="004E0B91"/>
    <w:rsid w:val="004E12E7"/>
    <w:rsid w:val="004E3F4B"/>
    <w:rsid w:val="0050253B"/>
    <w:rsid w:val="00525235"/>
    <w:rsid w:val="00533C9C"/>
    <w:rsid w:val="00540AC3"/>
    <w:rsid w:val="00543AA5"/>
    <w:rsid w:val="00554947"/>
    <w:rsid w:val="00563595"/>
    <w:rsid w:val="00567CF7"/>
    <w:rsid w:val="00572585"/>
    <w:rsid w:val="0057402D"/>
    <w:rsid w:val="0058157A"/>
    <w:rsid w:val="00591652"/>
    <w:rsid w:val="00592A58"/>
    <w:rsid w:val="005A6754"/>
    <w:rsid w:val="005B1231"/>
    <w:rsid w:val="005B1412"/>
    <w:rsid w:val="005D7A5F"/>
    <w:rsid w:val="005E0DA5"/>
    <w:rsid w:val="005E58DA"/>
    <w:rsid w:val="005F1737"/>
    <w:rsid w:val="005F29CE"/>
    <w:rsid w:val="005F3A6A"/>
    <w:rsid w:val="005F4A99"/>
    <w:rsid w:val="0062670D"/>
    <w:rsid w:val="00634831"/>
    <w:rsid w:val="00637392"/>
    <w:rsid w:val="006471D6"/>
    <w:rsid w:val="006571FD"/>
    <w:rsid w:val="0067437A"/>
    <w:rsid w:val="00686530"/>
    <w:rsid w:val="006A3E2C"/>
    <w:rsid w:val="006A4F5F"/>
    <w:rsid w:val="006B0BDD"/>
    <w:rsid w:val="006B7AC6"/>
    <w:rsid w:val="006C0413"/>
    <w:rsid w:val="006C4659"/>
    <w:rsid w:val="006C6C13"/>
    <w:rsid w:val="006E1812"/>
    <w:rsid w:val="006E6F5B"/>
    <w:rsid w:val="006F31BB"/>
    <w:rsid w:val="00700FE0"/>
    <w:rsid w:val="00704250"/>
    <w:rsid w:val="0071144A"/>
    <w:rsid w:val="00720EEE"/>
    <w:rsid w:val="0073026C"/>
    <w:rsid w:val="0073114E"/>
    <w:rsid w:val="00731A85"/>
    <w:rsid w:val="007321EC"/>
    <w:rsid w:val="00733CEE"/>
    <w:rsid w:val="00746644"/>
    <w:rsid w:val="007479F9"/>
    <w:rsid w:val="007623B4"/>
    <w:rsid w:val="007811C3"/>
    <w:rsid w:val="00782DAC"/>
    <w:rsid w:val="007900C9"/>
    <w:rsid w:val="007B6E1E"/>
    <w:rsid w:val="007C74A7"/>
    <w:rsid w:val="007D3DA6"/>
    <w:rsid w:val="007E19FF"/>
    <w:rsid w:val="007E77B9"/>
    <w:rsid w:val="007F2043"/>
    <w:rsid w:val="007F27AC"/>
    <w:rsid w:val="00811078"/>
    <w:rsid w:val="00814963"/>
    <w:rsid w:val="00815232"/>
    <w:rsid w:val="00815A6A"/>
    <w:rsid w:val="008178F7"/>
    <w:rsid w:val="00827552"/>
    <w:rsid w:val="00827A23"/>
    <w:rsid w:val="008378EF"/>
    <w:rsid w:val="00845DE3"/>
    <w:rsid w:val="00861663"/>
    <w:rsid w:val="00883E67"/>
    <w:rsid w:val="00892D4B"/>
    <w:rsid w:val="008966E2"/>
    <w:rsid w:val="008A6639"/>
    <w:rsid w:val="008B1D5B"/>
    <w:rsid w:val="008B5F03"/>
    <w:rsid w:val="008C3110"/>
    <w:rsid w:val="008D1A8F"/>
    <w:rsid w:val="008E5D46"/>
    <w:rsid w:val="008F38D2"/>
    <w:rsid w:val="008F6A3F"/>
    <w:rsid w:val="0090631B"/>
    <w:rsid w:val="00912765"/>
    <w:rsid w:val="009130C6"/>
    <w:rsid w:val="00923CCE"/>
    <w:rsid w:val="009306A2"/>
    <w:rsid w:val="0093427C"/>
    <w:rsid w:val="00954F67"/>
    <w:rsid w:val="00955FE1"/>
    <w:rsid w:val="00972BB4"/>
    <w:rsid w:val="00974E64"/>
    <w:rsid w:val="00976A1A"/>
    <w:rsid w:val="009907E9"/>
    <w:rsid w:val="009B190F"/>
    <w:rsid w:val="009B52CF"/>
    <w:rsid w:val="009C303C"/>
    <w:rsid w:val="009E2C0C"/>
    <w:rsid w:val="009F455E"/>
    <w:rsid w:val="00A04B16"/>
    <w:rsid w:val="00A16373"/>
    <w:rsid w:val="00A2572E"/>
    <w:rsid w:val="00A26BDE"/>
    <w:rsid w:val="00A27071"/>
    <w:rsid w:val="00A34461"/>
    <w:rsid w:val="00A47432"/>
    <w:rsid w:val="00A54778"/>
    <w:rsid w:val="00A55836"/>
    <w:rsid w:val="00A61097"/>
    <w:rsid w:val="00A631AB"/>
    <w:rsid w:val="00A676AD"/>
    <w:rsid w:val="00A67BB2"/>
    <w:rsid w:val="00A70FB0"/>
    <w:rsid w:val="00A83C17"/>
    <w:rsid w:val="00A919B9"/>
    <w:rsid w:val="00AD0142"/>
    <w:rsid w:val="00B15B32"/>
    <w:rsid w:val="00B16614"/>
    <w:rsid w:val="00B27732"/>
    <w:rsid w:val="00B316BE"/>
    <w:rsid w:val="00B31C31"/>
    <w:rsid w:val="00B5128A"/>
    <w:rsid w:val="00B57BA7"/>
    <w:rsid w:val="00B729C9"/>
    <w:rsid w:val="00B7754C"/>
    <w:rsid w:val="00B87DCA"/>
    <w:rsid w:val="00B9748E"/>
    <w:rsid w:val="00BA6C7A"/>
    <w:rsid w:val="00BD19E2"/>
    <w:rsid w:val="00BE7CE9"/>
    <w:rsid w:val="00BF655A"/>
    <w:rsid w:val="00C15312"/>
    <w:rsid w:val="00C16E68"/>
    <w:rsid w:val="00C24CCD"/>
    <w:rsid w:val="00C54F81"/>
    <w:rsid w:val="00C71906"/>
    <w:rsid w:val="00C730E3"/>
    <w:rsid w:val="00C76F57"/>
    <w:rsid w:val="00C91562"/>
    <w:rsid w:val="00C9190D"/>
    <w:rsid w:val="00C94018"/>
    <w:rsid w:val="00C97024"/>
    <w:rsid w:val="00CB669A"/>
    <w:rsid w:val="00CC58B7"/>
    <w:rsid w:val="00CE3900"/>
    <w:rsid w:val="00CF294D"/>
    <w:rsid w:val="00CF6518"/>
    <w:rsid w:val="00D10004"/>
    <w:rsid w:val="00D1072A"/>
    <w:rsid w:val="00D139CA"/>
    <w:rsid w:val="00D1532E"/>
    <w:rsid w:val="00D2219E"/>
    <w:rsid w:val="00D25F85"/>
    <w:rsid w:val="00D2651F"/>
    <w:rsid w:val="00D3064B"/>
    <w:rsid w:val="00D3208C"/>
    <w:rsid w:val="00D420D9"/>
    <w:rsid w:val="00D527C3"/>
    <w:rsid w:val="00D55699"/>
    <w:rsid w:val="00D64E09"/>
    <w:rsid w:val="00D67708"/>
    <w:rsid w:val="00D7162A"/>
    <w:rsid w:val="00D77D2F"/>
    <w:rsid w:val="00DA568F"/>
    <w:rsid w:val="00DA78B7"/>
    <w:rsid w:val="00DB5A79"/>
    <w:rsid w:val="00DC29B8"/>
    <w:rsid w:val="00DE7EFC"/>
    <w:rsid w:val="00DF7020"/>
    <w:rsid w:val="00DF71ED"/>
    <w:rsid w:val="00E05FF5"/>
    <w:rsid w:val="00E062FB"/>
    <w:rsid w:val="00E20A7E"/>
    <w:rsid w:val="00E4244D"/>
    <w:rsid w:val="00E60E9B"/>
    <w:rsid w:val="00E70764"/>
    <w:rsid w:val="00E72340"/>
    <w:rsid w:val="00E7721C"/>
    <w:rsid w:val="00EA5A70"/>
    <w:rsid w:val="00EB2AD9"/>
    <w:rsid w:val="00EB60B0"/>
    <w:rsid w:val="00EE7436"/>
    <w:rsid w:val="00EF4E04"/>
    <w:rsid w:val="00F0414A"/>
    <w:rsid w:val="00F1137B"/>
    <w:rsid w:val="00F209AE"/>
    <w:rsid w:val="00F24EA1"/>
    <w:rsid w:val="00F27745"/>
    <w:rsid w:val="00F545EF"/>
    <w:rsid w:val="00F6679D"/>
    <w:rsid w:val="00F7153C"/>
    <w:rsid w:val="00F84454"/>
    <w:rsid w:val="00F855A6"/>
    <w:rsid w:val="00FA5A06"/>
    <w:rsid w:val="00FB4B03"/>
    <w:rsid w:val="00FC05CE"/>
    <w:rsid w:val="00FC0F7D"/>
    <w:rsid w:val="00FE0D07"/>
    <w:rsid w:val="00FE7184"/>
    <w:rsid w:val="00FE7D49"/>
    <w:rsid w:val="17ACC65C"/>
    <w:rsid w:val="271ED4F3"/>
    <w:rsid w:val="56DB490E"/>
    <w:rsid w:val="5DF5E74A"/>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B660"/>
  <w15:chartTrackingRefBased/>
  <w15:docId w15:val="{39844B04-B86C-4AA0-8AED-F8AEB682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5E58DA"/>
    <w:pPr>
      <w:keepNext/>
      <w:keepLines/>
      <w:spacing w:after="89" w:line="265" w:lineRule="auto"/>
      <w:ind w:left="10" w:hanging="10"/>
      <w:outlineLvl w:val="2"/>
    </w:pPr>
    <w:rPr>
      <w:rFonts w:ascii="Calibri" w:eastAsia="Calibri" w:hAnsi="Calibri" w:cs="Calibri"/>
      <w:b/>
      <w:color w:val="343433"/>
      <w:sz w:val="16"/>
      <w:lang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29C9"/>
    <w:rPr>
      <w:b/>
      <w:bCs/>
    </w:rPr>
  </w:style>
  <w:style w:type="character" w:customStyle="1" w:styleId="Heading3Char">
    <w:name w:val="Heading 3 Char"/>
    <w:basedOn w:val="DefaultParagraphFont"/>
    <w:link w:val="Heading3"/>
    <w:uiPriority w:val="9"/>
    <w:rsid w:val="005E58DA"/>
    <w:rPr>
      <w:rFonts w:ascii="Calibri" w:eastAsia="Calibri" w:hAnsi="Calibri" w:cs="Calibri"/>
      <w:b/>
      <w:color w:val="343433"/>
      <w:sz w:val="16"/>
      <w:lang w:eastAsia="mn-MN"/>
    </w:rPr>
  </w:style>
  <w:style w:type="paragraph" w:styleId="ListParagraph">
    <w:name w:val="List Paragraph"/>
    <w:basedOn w:val="Normal"/>
    <w:uiPriority w:val="34"/>
    <w:qFormat/>
    <w:rsid w:val="005E58DA"/>
    <w:pPr>
      <w:ind w:left="720"/>
      <w:contextualSpacing/>
    </w:pPr>
  </w:style>
  <w:style w:type="paragraph" w:styleId="NormalWeb">
    <w:name w:val="Normal (Web)"/>
    <w:basedOn w:val="Normal"/>
    <w:uiPriority w:val="99"/>
    <w:semiHidden/>
    <w:unhideWhenUsed/>
    <w:rsid w:val="004A3601"/>
    <w:pPr>
      <w:spacing w:before="100" w:beforeAutospacing="1" w:after="100" w:afterAutospacing="1" w:line="240" w:lineRule="auto"/>
    </w:pPr>
    <w:rPr>
      <w:rFonts w:eastAsia="Times New Roman" w:cs="Times New Roman"/>
      <w:szCs w:val="24"/>
      <w:lang w:val="en-US"/>
    </w:rPr>
  </w:style>
  <w:style w:type="character" w:styleId="CommentReference">
    <w:name w:val="annotation reference"/>
    <w:basedOn w:val="DefaultParagraphFont"/>
    <w:uiPriority w:val="99"/>
    <w:semiHidden/>
    <w:unhideWhenUsed/>
    <w:rsid w:val="00C15312"/>
    <w:rPr>
      <w:sz w:val="16"/>
      <w:szCs w:val="16"/>
    </w:rPr>
  </w:style>
  <w:style w:type="paragraph" w:styleId="CommentText">
    <w:name w:val="annotation text"/>
    <w:basedOn w:val="Normal"/>
    <w:link w:val="CommentTextChar"/>
    <w:uiPriority w:val="99"/>
    <w:unhideWhenUsed/>
    <w:rsid w:val="00C15312"/>
    <w:pPr>
      <w:spacing w:line="240" w:lineRule="auto"/>
    </w:pPr>
    <w:rPr>
      <w:sz w:val="20"/>
      <w:szCs w:val="20"/>
    </w:rPr>
  </w:style>
  <w:style w:type="character" w:customStyle="1" w:styleId="CommentTextChar">
    <w:name w:val="Comment Text Char"/>
    <w:basedOn w:val="DefaultParagraphFont"/>
    <w:link w:val="CommentText"/>
    <w:uiPriority w:val="99"/>
    <w:rsid w:val="00C15312"/>
    <w:rPr>
      <w:sz w:val="20"/>
      <w:szCs w:val="20"/>
    </w:rPr>
  </w:style>
  <w:style w:type="table" w:styleId="TableGridLight">
    <w:name w:val="Grid Table Light"/>
    <w:basedOn w:val="TableNormal"/>
    <w:uiPriority w:val="40"/>
    <w:rsid w:val="00845D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A55836"/>
    <w:pPr>
      <w:widowControl w:val="0"/>
      <w:autoSpaceDE w:val="0"/>
      <w:autoSpaceDN w:val="0"/>
      <w:spacing w:after="0" w:line="240" w:lineRule="auto"/>
    </w:pPr>
    <w:rPr>
      <w:rFonts w:ascii="Microsoft Sans Serif" w:eastAsia="Microsoft Sans Serif" w:hAnsi="Microsoft Sans Serif" w:cs="Microsoft Sans Serif"/>
      <w:sz w:val="22"/>
      <w:lang w:val="kk-KZ"/>
    </w:rPr>
  </w:style>
  <w:style w:type="paragraph" w:styleId="Revision">
    <w:name w:val="Revision"/>
    <w:hidden/>
    <w:uiPriority w:val="99"/>
    <w:semiHidden/>
    <w:rsid w:val="00F7153C"/>
    <w:pPr>
      <w:spacing w:after="0" w:line="240" w:lineRule="auto"/>
    </w:pPr>
  </w:style>
  <w:style w:type="paragraph" w:styleId="BalloonText">
    <w:name w:val="Balloon Text"/>
    <w:basedOn w:val="Normal"/>
    <w:link w:val="BalloonTextChar"/>
    <w:uiPriority w:val="99"/>
    <w:semiHidden/>
    <w:unhideWhenUsed/>
    <w:rsid w:val="00700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99012">
      <w:bodyDiv w:val="1"/>
      <w:marLeft w:val="0"/>
      <w:marRight w:val="0"/>
      <w:marTop w:val="0"/>
      <w:marBottom w:val="0"/>
      <w:divBdr>
        <w:top w:val="none" w:sz="0" w:space="0" w:color="auto"/>
        <w:left w:val="none" w:sz="0" w:space="0" w:color="auto"/>
        <w:bottom w:val="none" w:sz="0" w:space="0" w:color="auto"/>
        <w:right w:val="none" w:sz="0" w:space="0" w:color="auto"/>
      </w:divBdr>
    </w:div>
    <w:div w:id="203956082">
      <w:bodyDiv w:val="1"/>
      <w:marLeft w:val="0"/>
      <w:marRight w:val="0"/>
      <w:marTop w:val="0"/>
      <w:marBottom w:val="0"/>
      <w:divBdr>
        <w:top w:val="none" w:sz="0" w:space="0" w:color="auto"/>
        <w:left w:val="none" w:sz="0" w:space="0" w:color="auto"/>
        <w:bottom w:val="none" w:sz="0" w:space="0" w:color="auto"/>
        <w:right w:val="none" w:sz="0" w:space="0" w:color="auto"/>
      </w:divBdr>
    </w:div>
    <w:div w:id="271402853">
      <w:bodyDiv w:val="1"/>
      <w:marLeft w:val="0"/>
      <w:marRight w:val="0"/>
      <w:marTop w:val="0"/>
      <w:marBottom w:val="0"/>
      <w:divBdr>
        <w:top w:val="none" w:sz="0" w:space="0" w:color="auto"/>
        <w:left w:val="none" w:sz="0" w:space="0" w:color="auto"/>
        <w:bottom w:val="none" w:sz="0" w:space="0" w:color="auto"/>
        <w:right w:val="none" w:sz="0" w:space="0" w:color="auto"/>
      </w:divBdr>
    </w:div>
    <w:div w:id="281154145">
      <w:bodyDiv w:val="1"/>
      <w:marLeft w:val="0"/>
      <w:marRight w:val="0"/>
      <w:marTop w:val="0"/>
      <w:marBottom w:val="0"/>
      <w:divBdr>
        <w:top w:val="none" w:sz="0" w:space="0" w:color="auto"/>
        <w:left w:val="none" w:sz="0" w:space="0" w:color="auto"/>
        <w:bottom w:val="none" w:sz="0" w:space="0" w:color="auto"/>
        <w:right w:val="none" w:sz="0" w:space="0" w:color="auto"/>
      </w:divBdr>
    </w:div>
    <w:div w:id="403994211">
      <w:bodyDiv w:val="1"/>
      <w:marLeft w:val="0"/>
      <w:marRight w:val="0"/>
      <w:marTop w:val="0"/>
      <w:marBottom w:val="0"/>
      <w:divBdr>
        <w:top w:val="none" w:sz="0" w:space="0" w:color="auto"/>
        <w:left w:val="none" w:sz="0" w:space="0" w:color="auto"/>
        <w:bottom w:val="none" w:sz="0" w:space="0" w:color="auto"/>
        <w:right w:val="none" w:sz="0" w:space="0" w:color="auto"/>
      </w:divBdr>
    </w:div>
    <w:div w:id="504171977">
      <w:bodyDiv w:val="1"/>
      <w:marLeft w:val="0"/>
      <w:marRight w:val="0"/>
      <w:marTop w:val="0"/>
      <w:marBottom w:val="0"/>
      <w:divBdr>
        <w:top w:val="none" w:sz="0" w:space="0" w:color="auto"/>
        <w:left w:val="none" w:sz="0" w:space="0" w:color="auto"/>
        <w:bottom w:val="none" w:sz="0" w:space="0" w:color="auto"/>
        <w:right w:val="none" w:sz="0" w:space="0" w:color="auto"/>
      </w:divBdr>
    </w:div>
    <w:div w:id="589390341">
      <w:bodyDiv w:val="1"/>
      <w:marLeft w:val="0"/>
      <w:marRight w:val="0"/>
      <w:marTop w:val="0"/>
      <w:marBottom w:val="0"/>
      <w:divBdr>
        <w:top w:val="none" w:sz="0" w:space="0" w:color="auto"/>
        <w:left w:val="none" w:sz="0" w:space="0" w:color="auto"/>
        <w:bottom w:val="none" w:sz="0" w:space="0" w:color="auto"/>
        <w:right w:val="none" w:sz="0" w:space="0" w:color="auto"/>
      </w:divBdr>
    </w:div>
    <w:div w:id="645820191">
      <w:bodyDiv w:val="1"/>
      <w:marLeft w:val="0"/>
      <w:marRight w:val="0"/>
      <w:marTop w:val="0"/>
      <w:marBottom w:val="0"/>
      <w:divBdr>
        <w:top w:val="none" w:sz="0" w:space="0" w:color="auto"/>
        <w:left w:val="none" w:sz="0" w:space="0" w:color="auto"/>
        <w:bottom w:val="none" w:sz="0" w:space="0" w:color="auto"/>
        <w:right w:val="none" w:sz="0" w:space="0" w:color="auto"/>
      </w:divBdr>
    </w:div>
    <w:div w:id="684481317">
      <w:bodyDiv w:val="1"/>
      <w:marLeft w:val="0"/>
      <w:marRight w:val="0"/>
      <w:marTop w:val="0"/>
      <w:marBottom w:val="0"/>
      <w:divBdr>
        <w:top w:val="none" w:sz="0" w:space="0" w:color="auto"/>
        <w:left w:val="none" w:sz="0" w:space="0" w:color="auto"/>
        <w:bottom w:val="none" w:sz="0" w:space="0" w:color="auto"/>
        <w:right w:val="none" w:sz="0" w:space="0" w:color="auto"/>
      </w:divBdr>
    </w:div>
    <w:div w:id="695693099">
      <w:bodyDiv w:val="1"/>
      <w:marLeft w:val="0"/>
      <w:marRight w:val="0"/>
      <w:marTop w:val="0"/>
      <w:marBottom w:val="0"/>
      <w:divBdr>
        <w:top w:val="none" w:sz="0" w:space="0" w:color="auto"/>
        <w:left w:val="none" w:sz="0" w:space="0" w:color="auto"/>
        <w:bottom w:val="none" w:sz="0" w:space="0" w:color="auto"/>
        <w:right w:val="none" w:sz="0" w:space="0" w:color="auto"/>
      </w:divBdr>
    </w:div>
    <w:div w:id="753819118">
      <w:bodyDiv w:val="1"/>
      <w:marLeft w:val="0"/>
      <w:marRight w:val="0"/>
      <w:marTop w:val="0"/>
      <w:marBottom w:val="0"/>
      <w:divBdr>
        <w:top w:val="none" w:sz="0" w:space="0" w:color="auto"/>
        <w:left w:val="none" w:sz="0" w:space="0" w:color="auto"/>
        <w:bottom w:val="none" w:sz="0" w:space="0" w:color="auto"/>
        <w:right w:val="none" w:sz="0" w:space="0" w:color="auto"/>
      </w:divBdr>
    </w:div>
    <w:div w:id="768162800">
      <w:bodyDiv w:val="1"/>
      <w:marLeft w:val="0"/>
      <w:marRight w:val="0"/>
      <w:marTop w:val="0"/>
      <w:marBottom w:val="0"/>
      <w:divBdr>
        <w:top w:val="none" w:sz="0" w:space="0" w:color="auto"/>
        <w:left w:val="none" w:sz="0" w:space="0" w:color="auto"/>
        <w:bottom w:val="none" w:sz="0" w:space="0" w:color="auto"/>
        <w:right w:val="none" w:sz="0" w:space="0" w:color="auto"/>
      </w:divBdr>
    </w:div>
    <w:div w:id="777985713">
      <w:bodyDiv w:val="1"/>
      <w:marLeft w:val="0"/>
      <w:marRight w:val="0"/>
      <w:marTop w:val="0"/>
      <w:marBottom w:val="0"/>
      <w:divBdr>
        <w:top w:val="none" w:sz="0" w:space="0" w:color="auto"/>
        <w:left w:val="none" w:sz="0" w:space="0" w:color="auto"/>
        <w:bottom w:val="none" w:sz="0" w:space="0" w:color="auto"/>
        <w:right w:val="none" w:sz="0" w:space="0" w:color="auto"/>
      </w:divBdr>
    </w:div>
    <w:div w:id="822739055">
      <w:bodyDiv w:val="1"/>
      <w:marLeft w:val="0"/>
      <w:marRight w:val="0"/>
      <w:marTop w:val="0"/>
      <w:marBottom w:val="0"/>
      <w:divBdr>
        <w:top w:val="none" w:sz="0" w:space="0" w:color="auto"/>
        <w:left w:val="none" w:sz="0" w:space="0" w:color="auto"/>
        <w:bottom w:val="none" w:sz="0" w:space="0" w:color="auto"/>
        <w:right w:val="none" w:sz="0" w:space="0" w:color="auto"/>
      </w:divBdr>
    </w:div>
    <w:div w:id="926840667">
      <w:bodyDiv w:val="1"/>
      <w:marLeft w:val="0"/>
      <w:marRight w:val="0"/>
      <w:marTop w:val="0"/>
      <w:marBottom w:val="0"/>
      <w:divBdr>
        <w:top w:val="none" w:sz="0" w:space="0" w:color="auto"/>
        <w:left w:val="none" w:sz="0" w:space="0" w:color="auto"/>
        <w:bottom w:val="none" w:sz="0" w:space="0" w:color="auto"/>
        <w:right w:val="none" w:sz="0" w:space="0" w:color="auto"/>
      </w:divBdr>
    </w:div>
    <w:div w:id="935096145">
      <w:bodyDiv w:val="1"/>
      <w:marLeft w:val="0"/>
      <w:marRight w:val="0"/>
      <w:marTop w:val="0"/>
      <w:marBottom w:val="0"/>
      <w:divBdr>
        <w:top w:val="none" w:sz="0" w:space="0" w:color="auto"/>
        <w:left w:val="none" w:sz="0" w:space="0" w:color="auto"/>
        <w:bottom w:val="none" w:sz="0" w:space="0" w:color="auto"/>
        <w:right w:val="none" w:sz="0" w:space="0" w:color="auto"/>
      </w:divBdr>
    </w:div>
    <w:div w:id="944775186">
      <w:bodyDiv w:val="1"/>
      <w:marLeft w:val="0"/>
      <w:marRight w:val="0"/>
      <w:marTop w:val="0"/>
      <w:marBottom w:val="0"/>
      <w:divBdr>
        <w:top w:val="none" w:sz="0" w:space="0" w:color="auto"/>
        <w:left w:val="none" w:sz="0" w:space="0" w:color="auto"/>
        <w:bottom w:val="none" w:sz="0" w:space="0" w:color="auto"/>
        <w:right w:val="none" w:sz="0" w:space="0" w:color="auto"/>
      </w:divBdr>
    </w:div>
    <w:div w:id="957877107">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55616287">
      <w:bodyDiv w:val="1"/>
      <w:marLeft w:val="0"/>
      <w:marRight w:val="0"/>
      <w:marTop w:val="0"/>
      <w:marBottom w:val="0"/>
      <w:divBdr>
        <w:top w:val="none" w:sz="0" w:space="0" w:color="auto"/>
        <w:left w:val="none" w:sz="0" w:space="0" w:color="auto"/>
        <w:bottom w:val="none" w:sz="0" w:space="0" w:color="auto"/>
        <w:right w:val="none" w:sz="0" w:space="0" w:color="auto"/>
      </w:divBdr>
    </w:div>
    <w:div w:id="1094715556">
      <w:bodyDiv w:val="1"/>
      <w:marLeft w:val="0"/>
      <w:marRight w:val="0"/>
      <w:marTop w:val="0"/>
      <w:marBottom w:val="0"/>
      <w:divBdr>
        <w:top w:val="none" w:sz="0" w:space="0" w:color="auto"/>
        <w:left w:val="none" w:sz="0" w:space="0" w:color="auto"/>
        <w:bottom w:val="none" w:sz="0" w:space="0" w:color="auto"/>
        <w:right w:val="none" w:sz="0" w:space="0" w:color="auto"/>
      </w:divBdr>
    </w:div>
    <w:div w:id="1145045422">
      <w:bodyDiv w:val="1"/>
      <w:marLeft w:val="0"/>
      <w:marRight w:val="0"/>
      <w:marTop w:val="0"/>
      <w:marBottom w:val="0"/>
      <w:divBdr>
        <w:top w:val="none" w:sz="0" w:space="0" w:color="auto"/>
        <w:left w:val="none" w:sz="0" w:space="0" w:color="auto"/>
        <w:bottom w:val="none" w:sz="0" w:space="0" w:color="auto"/>
        <w:right w:val="none" w:sz="0" w:space="0" w:color="auto"/>
      </w:divBdr>
    </w:div>
    <w:div w:id="1206212620">
      <w:bodyDiv w:val="1"/>
      <w:marLeft w:val="0"/>
      <w:marRight w:val="0"/>
      <w:marTop w:val="0"/>
      <w:marBottom w:val="0"/>
      <w:divBdr>
        <w:top w:val="none" w:sz="0" w:space="0" w:color="auto"/>
        <w:left w:val="none" w:sz="0" w:space="0" w:color="auto"/>
        <w:bottom w:val="none" w:sz="0" w:space="0" w:color="auto"/>
        <w:right w:val="none" w:sz="0" w:space="0" w:color="auto"/>
      </w:divBdr>
    </w:div>
    <w:div w:id="1293708595">
      <w:bodyDiv w:val="1"/>
      <w:marLeft w:val="0"/>
      <w:marRight w:val="0"/>
      <w:marTop w:val="0"/>
      <w:marBottom w:val="0"/>
      <w:divBdr>
        <w:top w:val="none" w:sz="0" w:space="0" w:color="auto"/>
        <w:left w:val="none" w:sz="0" w:space="0" w:color="auto"/>
        <w:bottom w:val="none" w:sz="0" w:space="0" w:color="auto"/>
        <w:right w:val="none" w:sz="0" w:space="0" w:color="auto"/>
      </w:divBdr>
    </w:div>
    <w:div w:id="1325815297">
      <w:bodyDiv w:val="1"/>
      <w:marLeft w:val="0"/>
      <w:marRight w:val="0"/>
      <w:marTop w:val="0"/>
      <w:marBottom w:val="0"/>
      <w:divBdr>
        <w:top w:val="none" w:sz="0" w:space="0" w:color="auto"/>
        <w:left w:val="none" w:sz="0" w:space="0" w:color="auto"/>
        <w:bottom w:val="none" w:sz="0" w:space="0" w:color="auto"/>
        <w:right w:val="none" w:sz="0" w:space="0" w:color="auto"/>
      </w:divBdr>
    </w:div>
    <w:div w:id="1345933907">
      <w:bodyDiv w:val="1"/>
      <w:marLeft w:val="0"/>
      <w:marRight w:val="0"/>
      <w:marTop w:val="0"/>
      <w:marBottom w:val="0"/>
      <w:divBdr>
        <w:top w:val="none" w:sz="0" w:space="0" w:color="auto"/>
        <w:left w:val="none" w:sz="0" w:space="0" w:color="auto"/>
        <w:bottom w:val="none" w:sz="0" w:space="0" w:color="auto"/>
        <w:right w:val="none" w:sz="0" w:space="0" w:color="auto"/>
      </w:divBdr>
    </w:div>
    <w:div w:id="1494485868">
      <w:bodyDiv w:val="1"/>
      <w:marLeft w:val="0"/>
      <w:marRight w:val="0"/>
      <w:marTop w:val="0"/>
      <w:marBottom w:val="0"/>
      <w:divBdr>
        <w:top w:val="none" w:sz="0" w:space="0" w:color="auto"/>
        <w:left w:val="none" w:sz="0" w:space="0" w:color="auto"/>
        <w:bottom w:val="none" w:sz="0" w:space="0" w:color="auto"/>
        <w:right w:val="none" w:sz="0" w:space="0" w:color="auto"/>
      </w:divBdr>
    </w:div>
    <w:div w:id="1536963042">
      <w:bodyDiv w:val="1"/>
      <w:marLeft w:val="0"/>
      <w:marRight w:val="0"/>
      <w:marTop w:val="0"/>
      <w:marBottom w:val="0"/>
      <w:divBdr>
        <w:top w:val="none" w:sz="0" w:space="0" w:color="auto"/>
        <w:left w:val="none" w:sz="0" w:space="0" w:color="auto"/>
        <w:bottom w:val="none" w:sz="0" w:space="0" w:color="auto"/>
        <w:right w:val="none" w:sz="0" w:space="0" w:color="auto"/>
      </w:divBdr>
    </w:div>
    <w:div w:id="1607494378">
      <w:bodyDiv w:val="1"/>
      <w:marLeft w:val="0"/>
      <w:marRight w:val="0"/>
      <w:marTop w:val="0"/>
      <w:marBottom w:val="0"/>
      <w:divBdr>
        <w:top w:val="none" w:sz="0" w:space="0" w:color="auto"/>
        <w:left w:val="none" w:sz="0" w:space="0" w:color="auto"/>
        <w:bottom w:val="none" w:sz="0" w:space="0" w:color="auto"/>
        <w:right w:val="none" w:sz="0" w:space="0" w:color="auto"/>
      </w:divBdr>
    </w:div>
    <w:div w:id="1640258923">
      <w:bodyDiv w:val="1"/>
      <w:marLeft w:val="0"/>
      <w:marRight w:val="0"/>
      <w:marTop w:val="0"/>
      <w:marBottom w:val="0"/>
      <w:divBdr>
        <w:top w:val="none" w:sz="0" w:space="0" w:color="auto"/>
        <w:left w:val="none" w:sz="0" w:space="0" w:color="auto"/>
        <w:bottom w:val="none" w:sz="0" w:space="0" w:color="auto"/>
        <w:right w:val="none" w:sz="0" w:space="0" w:color="auto"/>
      </w:divBdr>
    </w:div>
    <w:div w:id="1732116554">
      <w:bodyDiv w:val="1"/>
      <w:marLeft w:val="0"/>
      <w:marRight w:val="0"/>
      <w:marTop w:val="0"/>
      <w:marBottom w:val="0"/>
      <w:divBdr>
        <w:top w:val="none" w:sz="0" w:space="0" w:color="auto"/>
        <w:left w:val="none" w:sz="0" w:space="0" w:color="auto"/>
        <w:bottom w:val="none" w:sz="0" w:space="0" w:color="auto"/>
        <w:right w:val="none" w:sz="0" w:space="0" w:color="auto"/>
      </w:divBdr>
    </w:div>
    <w:div w:id="2027556555">
      <w:bodyDiv w:val="1"/>
      <w:marLeft w:val="0"/>
      <w:marRight w:val="0"/>
      <w:marTop w:val="0"/>
      <w:marBottom w:val="0"/>
      <w:divBdr>
        <w:top w:val="none" w:sz="0" w:space="0" w:color="auto"/>
        <w:left w:val="none" w:sz="0" w:space="0" w:color="auto"/>
        <w:bottom w:val="none" w:sz="0" w:space="0" w:color="auto"/>
        <w:right w:val="none" w:sz="0" w:space="0" w:color="auto"/>
      </w:divBdr>
    </w:div>
    <w:div w:id="2053724254">
      <w:bodyDiv w:val="1"/>
      <w:marLeft w:val="0"/>
      <w:marRight w:val="0"/>
      <w:marTop w:val="0"/>
      <w:marBottom w:val="0"/>
      <w:divBdr>
        <w:top w:val="none" w:sz="0" w:space="0" w:color="auto"/>
        <w:left w:val="none" w:sz="0" w:space="0" w:color="auto"/>
        <w:bottom w:val="none" w:sz="0" w:space="0" w:color="auto"/>
        <w:right w:val="none" w:sz="0" w:space="0" w:color="auto"/>
      </w:divBdr>
    </w:div>
    <w:div w:id="21126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Net profit percentage</c:v>
                </c:pt>
              </c:strCache>
            </c:strRef>
          </c:tx>
          <c:spPr>
            <a:solidFill>
              <a:schemeClr val="accent1"/>
            </a:solidFill>
            <a:ln>
              <a:noFill/>
            </a:ln>
            <a:effectLst/>
          </c:spPr>
          <c:invertIfNegative val="0"/>
          <c:cat>
            <c:strRef>
              <c:f>Sheet1!$B$1:$G$1</c:f>
              <c:strCache>
                <c:ptCount val="6"/>
                <c:pt idx="0">
                  <c:v>2019</c:v>
                </c:pt>
                <c:pt idx="1">
                  <c:v>2020</c:v>
                </c:pt>
                <c:pt idx="2">
                  <c:v>2021</c:v>
                </c:pt>
                <c:pt idx="3">
                  <c:v>2022</c:v>
                </c:pt>
                <c:pt idx="4">
                  <c:v>2023-II</c:v>
                </c:pt>
                <c:pt idx="5">
                  <c:v>2024-II</c:v>
                </c:pt>
              </c:strCache>
            </c:strRef>
          </c:cat>
          <c:val>
            <c:numRef>
              <c:f>Sheet1!$B$2:$G$2</c:f>
              <c:numCache>
                <c:formatCode>0%</c:formatCode>
                <c:ptCount val="6"/>
                <c:pt idx="0">
                  <c:v>1</c:v>
                </c:pt>
                <c:pt idx="1">
                  <c:v>1</c:v>
                </c:pt>
                <c:pt idx="2">
                  <c:v>1</c:v>
                </c:pt>
                <c:pt idx="3">
                  <c:v>1</c:v>
                </c:pt>
                <c:pt idx="4">
                  <c:v>1</c:v>
                </c:pt>
                <c:pt idx="5">
                  <c:v>1</c:v>
                </c:pt>
              </c:numCache>
            </c:numRef>
          </c:val>
          <c:extLst>
            <c:ext xmlns:c16="http://schemas.microsoft.com/office/drawing/2014/chart" uri="{C3380CC4-5D6E-409C-BE32-E72D297353CC}">
              <c16:uniqueId val="{00000000-D521-46AA-ADB2-17366490DEBA}"/>
            </c:ext>
          </c:extLst>
        </c:ser>
        <c:ser>
          <c:idx val="1"/>
          <c:order val="1"/>
          <c:tx>
            <c:strRef>
              <c:f>Sheet1!$A$3</c:f>
              <c:strCache>
                <c:ptCount val="1"/>
                <c:pt idx="0">
                  <c:v>Gross profit percent</c:v>
                </c:pt>
              </c:strCache>
            </c:strRef>
          </c:tx>
          <c:spPr>
            <a:solidFill>
              <a:schemeClr val="accent2"/>
            </a:solidFill>
            <a:ln>
              <a:noFill/>
            </a:ln>
            <a:effectLst/>
          </c:spPr>
          <c:invertIfNegative val="0"/>
          <c:cat>
            <c:strRef>
              <c:f>Sheet1!$B$1:$G$1</c:f>
              <c:strCache>
                <c:ptCount val="6"/>
                <c:pt idx="0">
                  <c:v>2019</c:v>
                </c:pt>
                <c:pt idx="1">
                  <c:v>2020</c:v>
                </c:pt>
                <c:pt idx="2">
                  <c:v>2021</c:v>
                </c:pt>
                <c:pt idx="3">
                  <c:v>2022</c:v>
                </c:pt>
                <c:pt idx="4">
                  <c:v>2023-II</c:v>
                </c:pt>
                <c:pt idx="5">
                  <c:v>2024-II</c:v>
                </c:pt>
              </c:strCache>
            </c:strRef>
          </c:cat>
          <c:val>
            <c:numRef>
              <c:f>Sheet1!$B$3:$G$3</c:f>
              <c:numCache>
                <c:formatCode>0%</c:formatCode>
                <c:ptCount val="6"/>
                <c:pt idx="0">
                  <c:v>-0.77</c:v>
                </c:pt>
                <c:pt idx="1">
                  <c:v>-0.94</c:v>
                </c:pt>
                <c:pt idx="2">
                  <c:v>0.57999999999999996</c:v>
                </c:pt>
                <c:pt idx="3">
                  <c:v>0.15</c:v>
                </c:pt>
                <c:pt idx="4">
                  <c:v>0.42</c:v>
                </c:pt>
                <c:pt idx="5">
                  <c:v>2.06</c:v>
                </c:pt>
              </c:numCache>
            </c:numRef>
          </c:val>
          <c:extLst>
            <c:ext xmlns:c16="http://schemas.microsoft.com/office/drawing/2014/chart" uri="{C3380CC4-5D6E-409C-BE32-E72D297353CC}">
              <c16:uniqueId val="{00000001-D521-46AA-ADB2-17366490DEBA}"/>
            </c:ext>
          </c:extLst>
        </c:ser>
        <c:ser>
          <c:idx val="2"/>
          <c:order val="2"/>
          <c:tx>
            <c:strRef>
              <c:f>Sheet1!$A$4</c:f>
              <c:strCache>
                <c:ptCount val="1"/>
                <c:pt idx="0">
                  <c:v>Return on equity</c:v>
                </c:pt>
              </c:strCache>
            </c:strRef>
          </c:tx>
          <c:spPr>
            <a:solidFill>
              <a:schemeClr val="accent3"/>
            </a:solidFill>
            <a:ln>
              <a:noFill/>
            </a:ln>
            <a:effectLst/>
          </c:spPr>
          <c:invertIfNegative val="0"/>
          <c:cat>
            <c:strRef>
              <c:f>Sheet1!$B$1:$G$1</c:f>
              <c:strCache>
                <c:ptCount val="6"/>
                <c:pt idx="0">
                  <c:v>2019</c:v>
                </c:pt>
                <c:pt idx="1">
                  <c:v>2020</c:v>
                </c:pt>
                <c:pt idx="2">
                  <c:v>2021</c:v>
                </c:pt>
                <c:pt idx="3">
                  <c:v>2022</c:v>
                </c:pt>
                <c:pt idx="4">
                  <c:v>2023-II</c:v>
                </c:pt>
                <c:pt idx="5">
                  <c:v>2024-II</c:v>
                </c:pt>
              </c:strCache>
            </c:strRef>
          </c:cat>
          <c:val>
            <c:numRef>
              <c:f>Sheet1!$B$4:$G$4</c:f>
              <c:numCache>
                <c:formatCode>0%</c:formatCode>
                <c:ptCount val="6"/>
                <c:pt idx="0">
                  <c:v>-0.51</c:v>
                </c:pt>
                <c:pt idx="1">
                  <c:v>-0.82</c:v>
                </c:pt>
                <c:pt idx="2">
                  <c:v>0.72</c:v>
                </c:pt>
                <c:pt idx="3">
                  <c:v>0.03</c:v>
                </c:pt>
                <c:pt idx="4">
                  <c:v>0.06</c:v>
                </c:pt>
                <c:pt idx="5">
                  <c:v>0.31</c:v>
                </c:pt>
              </c:numCache>
            </c:numRef>
          </c:val>
          <c:extLst>
            <c:ext xmlns:c16="http://schemas.microsoft.com/office/drawing/2014/chart" uri="{C3380CC4-5D6E-409C-BE32-E72D297353CC}">
              <c16:uniqueId val="{00000002-D521-46AA-ADB2-17366490DEBA}"/>
            </c:ext>
          </c:extLst>
        </c:ser>
        <c:ser>
          <c:idx val="3"/>
          <c:order val="3"/>
          <c:tx>
            <c:strRef>
              <c:f>Sheet1!$A$5</c:f>
              <c:strCache>
                <c:ptCount val="1"/>
                <c:pt idx="0">
                  <c:v>Return on Total asset</c:v>
                </c:pt>
              </c:strCache>
            </c:strRef>
          </c:tx>
          <c:spPr>
            <a:solidFill>
              <a:schemeClr val="accent4"/>
            </a:solidFill>
            <a:ln>
              <a:noFill/>
            </a:ln>
            <a:effectLst/>
          </c:spPr>
          <c:invertIfNegative val="0"/>
          <c:cat>
            <c:strRef>
              <c:f>Sheet1!$B$1:$G$1</c:f>
              <c:strCache>
                <c:ptCount val="6"/>
                <c:pt idx="0">
                  <c:v>2019</c:v>
                </c:pt>
                <c:pt idx="1">
                  <c:v>2020</c:v>
                </c:pt>
                <c:pt idx="2">
                  <c:v>2021</c:v>
                </c:pt>
                <c:pt idx="3">
                  <c:v>2022</c:v>
                </c:pt>
                <c:pt idx="4">
                  <c:v>2023-II</c:v>
                </c:pt>
                <c:pt idx="5">
                  <c:v>2024-II</c:v>
                </c:pt>
              </c:strCache>
            </c:strRef>
          </c:cat>
          <c:val>
            <c:numRef>
              <c:f>Sheet1!$B$5:$G$5</c:f>
              <c:numCache>
                <c:formatCode>0%</c:formatCode>
                <c:ptCount val="6"/>
                <c:pt idx="0">
                  <c:v>-0.3</c:v>
                </c:pt>
                <c:pt idx="1">
                  <c:v>-0.3</c:v>
                </c:pt>
                <c:pt idx="2">
                  <c:v>0.59</c:v>
                </c:pt>
                <c:pt idx="3">
                  <c:v>0.03</c:v>
                </c:pt>
                <c:pt idx="4">
                  <c:v>0.02</c:v>
                </c:pt>
                <c:pt idx="5">
                  <c:v>0.02</c:v>
                </c:pt>
              </c:numCache>
            </c:numRef>
          </c:val>
          <c:extLst>
            <c:ext xmlns:c16="http://schemas.microsoft.com/office/drawing/2014/chart" uri="{C3380CC4-5D6E-409C-BE32-E72D297353CC}">
              <c16:uniqueId val="{00000003-D521-46AA-ADB2-17366490DEBA}"/>
            </c:ext>
          </c:extLst>
        </c:ser>
        <c:dLbls>
          <c:showLegendKey val="0"/>
          <c:showVal val="0"/>
          <c:showCatName val="0"/>
          <c:showSerName val="0"/>
          <c:showPercent val="0"/>
          <c:showBubbleSize val="0"/>
        </c:dLbls>
        <c:gapWidth val="219"/>
        <c:overlap val="-27"/>
        <c:axId val="1409858303"/>
        <c:axId val="1409846783"/>
      </c:barChart>
      <c:catAx>
        <c:axId val="1409858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46783"/>
        <c:crosses val="autoZero"/>
        <c:auto val="1"/>
        <c:lblAlgn val="ctr"/>
        <c:lblOffset val="100"/>
        <c:noMultiLvlLbl val="0"/>
      </c:catAx>
      <c:valAx>
        <c:axId val="14098467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58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Sheet3!$A$2</c:f>
              <c:strCache>
                <c:ptCount val="1"/>
                <c:pt idx="0">
                  <c:v>Current ratio      </c:v>
                </c:pt>
              </c:strCache>
            </c:strRef>
          </c:tx>
          <c:spPr>
            <a:ln w="28575" cap="rnd">
              <a:solidFill>
                <a:schemeClr val="accent1"/>
              </a:solidFill>
              <a:round/>
            </a:ln>
            <a:effectLst/>
          </c:spPr>
          <c:marker>
            <c:symbol val="none"/>
          </c:marker>
          <c:cat>
            <c:strRef>
              <c:f>Sheet3!$B$1:$G$1</c:f>
              <c:strCache>
                <c:ptCount val="6"/>
                <c:pt idx="0">
                  <c:v>2019</c:v>
                </c:pt>
                <c:pt idx="1">
                  <c:v>2020</c:v>
                </c:pt>
                <c:pt idx="2">
                  <c:v>2021</c:v>
                </c:pt>
                <c:pt idx="3">
                  <c:v>2022</c:v>
                </c:pt>
                <c:pt idx="4">
                  <c:v>2023-II</c:v>
                </c:pt>
                <c:pt idx="5">
                  <c:v>2024-II</c:v>
                </c:pt>
              </c:strCache>
            </c:strRef>
          </c:cat>
          <c:val>
            <c:numRef>
              <c:f>Sheet3!$B$2:$G$2</c:f>
              <c:numCache>
                <c:formatCode>General</c:formatCode>
                <c:ptCount val="6"/>
                <c:pt idx="0">
                  <c:v>0.67</c:v>
                </c:pt>
                <c:pt idx="1">
                  <c:v>0.31</c:v>
                </c:pt>
                <c:pt idx="2">
                  <c:v>3.05</c:v>
                </c:pt>
                <c:pt idx="3">
                  <c:v>2.2999999999999998</c:v>
                </c:pt>
                <c:pt idx="4">
                  <c:v>1.26</c:v>
                </c:pt>
                <c:pt idx="5">
                  <c:v>1.04</c:v>
                </c:pt>
              </c:numCache>
            </c:numRef>
          </c:val>
          <c:smooth val="0"/>
          <c:extLst>
            <c:ext xmlns:c16="http://schemas.microsoft.com/office/drawing/2014/chart" uri="{C3380CC4-5D6E-409C-BE32-E72D297353CC}">
              <c16:uniqueId val="{00000000-3B94-40C7-B3D7-A506F97B42DC}"/>
            </c:ext>
          </c:extLst>
        </c:ser>
        <c:ser>
          <c:idx val="1"/>
          <c:order val="1"/>
          <c:tx>
            <c:strRef>
              <c:f>Sheet3!$A$3</c:f>
              <c:strCache>
                <c:ptCount val="1"/>
                <c:pt idx="0">
                  <c:v>Quick ratio                                                </c:v>
                </c:pt>
              </c:strCache>
            </c:strRef>
          </c:tx>
          <c:spPr>
            <a:ln w="28575" cap="rnd">
              <a:solidFill>
                <a:schemeClr val="accent2"/>
              </a:solidFill>
              <a:round/>
            </a:ln>
            <a:effectLst/>
          </c:spPr>
          <c:marker>
            <c:symbol val="none"/>
          </c:marker>
          <c:cat>
            <c:strRef>
              <c:f>Sheet3!$B$1:$G$1</c:f>
              <c:strCache>
                <c:ptCount val="6"/>
                <c:pt idx="0">
                  <c:v>2019</c:v>
                </c:pt>
                <c:pt idx="1">
                  <c:v>2020</c:v>
                </c:pt>
                <c:pt idx="2">
                  <c:v>2021</c:v>
                </c:pt>
                <c:pt idx="3">
                  <c:v>2022</c:v>
                </c:pt>
                <c:pt idx="4">
                  <c:v>2023-II</c:v>
                </c:pt>
                <c:pt idx="5">
                  <c:v>2024-II</c:v>
                </c:pt>
              </c:strCache>
            </c:strRef>
          </c:cat>
          <c:val>
            <c:numRef>
              <c:f>Sheet3!$B$3:$G$3</c:f>
              <c:numCache>
                <c:formatCode>General</c:formatCode>
                <c:ptCount val="6"/>
                <c:pt idx="0">
                  <c:v>0.65</c:v>
                </c:pt>
                <c:pt idx="1">
                  <c:v>0.3</c:v>
                </c:pt>
                <c:pt idx="2">
                  <c:v>3.03</c:v>
                </c:pt>
                <c:pt idx="3">
                  <c:v>2.27</c:v>
                </c:pt>
                <c:pt idx="4">
                  <c:v>1.26</c:v>
                </c:pt>
                <c:pt idx="5">
                  <c:v>1.04</c:v>
                </c:pt>
              </c:numCache>
            </c:numRef>
          </c:val>
          <c:smooth val="0"/>
          <c:extLst>
            <c:ext xmlns:c16="http://schemas.microsoft.com/office/drawing/2014/chart" uri="{C3380CC4-5D6E-409C-BE32-E72D297353CC}">
              <c16:uniqueId val="{00000001-3B94-40C7-B3D7-A506F97B42DC}"/>
            </c:ext>
          </c:extLst>
        </c:ser>
        <c:ser>
          <c:idx val="2"/>
          <c:order val="2"/>
          <c:tx>
            <c:strRef>
              <c:f>Sheet3!$A$4</c:f>
              <c:strCache>
                <c:ptCount val="1"/>
                <c:pt idx="0">
                  <c:v>Liabilities and equity ratio                       </c:v>
                </c:pt>
              </c:strCache>
            </c:strRef>
          </c:tx>
          <c:spPr>
            <a:ln w="28575" cap="rnd">
              <a:solidFill>
                <a:schemeClr val="accent3"/>
              </a:solidFill>
              <a:round/>
            </a:ln>
            <a:effectLst/>
          </c:spPr>
          <c:marker>
            <c:symbol val="none"/>
          </c:marker>
          <c:cat>
            <c:strRef>
              <c:f>Sheet3!$B$1:$G$1</c:f>
              <c:strCache>
                <c:ptCount val="6"/>
                <c:pt idx="0">
                  <c:v>2019</c:v>
                </c:pt>
                <c:pt idx="1">
                  <c:v>2020</c:v>
                </c:pt>
                <c:pt idx="2">
                  <c:v>2021</c:v>
                </c:pt>
                <c:pt idx="3">
                  <c:v>2022</c:v>
                </c:pt>
                <c:pt idx="4">
                  <c:v>2023-II</c:v>
                </c:pt>
                <c:pt idx="5">
                  <c:v>2024-II</c:v>
                </c:pt>
              </c:strCache>
            </c:strRef>
          </c:cat>
          <c:val>
            <c:numRef>
              <c:f>Sheet3!$B$4:$G$4</c:f>
              <c:numCache>
                <c:formatCode>General</c:formatCode>
                <c:ptCount val="6"/>
                <c:pt idx="0">
                  <c:v>0.73</c:v>
                </c:pt>
                <c:pt idx="1">
                  <c:v>1.75</c:v>
                </c:pt>
                <c:pt idx="2">
                  <c:v>0.21</c:v>
                </c:pt>
                <c:pt idx="3">
                  <c:v>0.08</c:v>
                </c:pt>
                <c:pt idx="4">
                  <c:v>1.61</c:v>
                </c:pt>
                <c:pt idx="5">
                  <c:v>17.82</c:v>
                </c:pt>
              </c:numCache>
            </c:numRef>
          </c:val>
          <c:smooth val="0"/>
          <c:extLst>
            <c:ext xmlns:c16="http://schemas.microsoft.com/office/drawing/2014/chart" uri="{C3380CC4-5D6E-409C-BE32-E72D297353CC}">
              <c16:uniqueId val="{00000002-3B94-40C7-B3D7-A506F97B42DC}"/>
            </c:ext>
          </c:extLst>
        </c:ser>
        <c:dLbls>
          <c:showLegendKey val="0"/>
          <c:showVal val="0"/>
          <c:showCatName val="0"/>
          <c:showSerName val="0"/>
          <c:showPercent val="0"/>
          <c:showBubbleSize val="0"/>
        </c:dLbls>
        <c:smooth val="0"/>
        <c:axId val="1617931903"/>
        <c:axId val="1617927583"/>
      </c:lineChart>
      <c:catAx>
        <c:axId val="1617931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927583"/>
        <c:crosses val="autoZero"/>
        <c:auto val="1"/>
        <c:lblAlgn val="ctr"/>
        <c:lblOffset val="100"/>
        <c:noMultiLvlLbl val="0"/>
      </c:catAx>
      <c:valAx>
        <c:axId val="16179275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931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6B67C-978F-4384-A33F-34C53B7B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UR5211</cp:lastModifiedBy>
  <cp:revision>2</cp:revision>
  <dcterms:created xsi:type="dcterms:W3CDTF">2024-09-02T09:44:00Z</dcterms:created>
  <dcterms:modified xsi:type="dcterms:W3CDTF">2024-09-02T09:44:00Z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f183d06cc2b4b8d2810b8e52f6f225f85c44f6d20d3235be53e264b97985408b</vt:lpwstr>
  </property>
</Properties>
</file>