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F7" w:rsidRDefault="00D955F7" w:rsidP="00D955F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32"/>
          <w:szCs w:val="32"/>
          <w:lang w:val="mn-MN"/>
        </w:rPr>
      </w:pPr>
      <w:r w:rsidRPr="005B6D67">
        <w:rPr>
          <w:rFonts w:ascii="Arial" w:hAnsi="Arial" w:cs="Arial"/>
          <w:sz w:val="32"/>
          <w:szCs w:val="32"/>
          <w:lang w:val="mn-MN"/>
        </w:rPr>
        <w:t>БАЯН-ӨЛГИЙ АЙМГИЙН ТУЛПАР ХК</w:t>
      </w:r>
    </w:p>
    <w:p w:rsidR="00D955F7" w:rsidRDefault="00D955F7" w:rsidP="00D955F7">
      <w:pPr>
        <w:tabs>
          <w:tab w:val="left" w:pos="1937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5B6D67">
        <w:rPr>
          <w:rFonts w:ascii="Arial" w:hAnsi="Arial" w:cs="Arial"/>
          <w:sz w:val="24"/>
          <w:szCs w:val="24"/>
          <w:lang w:val="mn-MN"/>
        </w:rPr>
        <w:t>201</w:t>
      </w:r>
      <w:r>
        <w:rPr>
          <w:rFonts w:ascii="Arial" w:hAnsi="Arial" w:cs="Arial"/>
          <w:sz w:val="24"/>
          <w:szCs w:val="24"/>
          <w:lang w:val="mn-MN"/>
        </w:rPr>
        <w:t>7 оны 02 дугаар                                          № 07                                         Өлгий хот</w:t>
      </w:r>
    </w:p>
    <w:p w:rsidR="00D955F7" w:rsidRDefault="00D955F7" w:rsidP="00D955F7">
      <w:pPr>
        <w:tabs>
          <w:tab w:val="left" w:pos="1937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сарын 17-ны өдөр                                                                                        Утас : 99412299</w:t>
      </w:r>
    </w:p>
    <w:p w:rsidR="00D955F7" w:rsidRDefault="00D955F7" w:rsidP="00D955F7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D955F7" w:rsidRPr="00781FDE" w:rsidRDefault="00D955F7" w:rsidP="00D955F7">
      <w:pPr>
        <w:rPr>
          <w:rFonts w:ascii="Arial" w:hAnsi="Arial" w:cs="Arial"/>
          <w:sz w:val="24"/>
          <w:szCs w:val="24"/>
          <w:lang w:val="mn-MN"/>
        </w:rPr>
      </w:pPr>
    </w:p>
    <w:p w:rsidR="00D955F7" w:rsidRDefault="00D955F7" w:rsidP="00D955F7">
      <w:pPr>
        <w:rPr>
          <w:rFonts w:ascii="Arial" w:hAnsi="Arial" w:cs="Arial"/>
          <w:sz w:val="24"/>
          <w:szCs w:val="24"/>
          <w:lang w:val="mn-MN"/>
        </w:rPr>
      </w:pPr>
    </w:p>
    <w:p w:rsidR="00D955F7" w:rsidRPr="00795795" w:rsidRDefault="00D955F7" w:rsidP="00D955F7">
      <w:pPr>
        <w:tabs>
          <w:tab w:val="left" w:pos="3994"/>
        </w:tabs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95795">
        <w:rPr>
          <w:rFonts w:ascii="Arial" w:hAnsi="Arial" w:cs="Arial"/>
          <w:b/>
          <w:i/>
          <w:sz w:val="24"/>
          <w:szCs w:val="24"/>
          <w:lang w:val="mn-MN"/>
        </w:rPr>
        <w:t>ТӨЛӨӨЛӨН УДИРДАХ ЗӨВЛӨЛИЙН ТОГТООЛ</w:t>
      </w:r>
    </w:p>
    <w:p w:rsidR="00D955F7" w:rsidRDefault="00D955F7" w:rsidP="00D955F7">
      <w:pPr>
        <w:tabs>
          <w:tab w:val="left" w:pos="3994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D955F7" w:rsidRDefault="00D955F7" w:rsidP="00D955F7">
      <w:pPr>
        <w:tabs>
          <w:tab w:val="left" w:pos="3994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D955F7" w:rsidRPr="00795795" w:rsidRDefault="00D955F7" w:rsidP="00D955F7">
      <w:pPr>
        <w:tabs>
          <w:tab w:val="left" w:pos="3994"/>
        </w:tabs>
        <w:spacing w:after="0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Хувьцаа эзэмшигчдийн ээлжит </w:t>
      </w:r>
    </w:p>
    <w:p w:rsidR="00D955F7" w:rsidRDefault="00D955F7" w:rsidP="00D955F7">
      <w:pPr>
        <w:tabs>
          <w:tab w:val="left" w:pos="3994"/>
        </w:tabs>
        <w:spacing w:after="0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>хурал хуралдуулах тухай</w:t>
      </w:r>
    </w:p>
    <w:p w:rsidR="00D955F7" w:rsidRPr="00795795" w:rsidRDefault="00D955F7" w:rsidP="00D955F7">
      <w:pPr>
        <w:tabs>
          <w:tab w:val="left" w:pos="3994"/>
        </w:tabs>
        <w:spacing w:after="0"/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D955F7" w:rsidRPr="00795795" w:rsidRDefault="00D955F7" w:rsidP="00D955F7">
      <w:pPr>
        <w:tabs>
          <w:tab w:val="left" w:pos="3994"/>
        </w:tabs>
        <w:spacing w:after="0"/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D955F7" w:rsidRPr="00795795" w:rsidRDefault="00D955F7" w:rsidP="00D955F7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ab/>
        <w:t>Тулпар ХК-ийн Төлөөлөн Удирдах Зөвлөлийн хурлаас хувьцаа эзмшигчдийн ээлжит хурал зарлан хуралдуулах тухай асуудлаар хэлэлцэж, олонхийн саналыг үндэслэн ТОГТООХ НЬ :</w:t>
      </w:r>
    </w:p>
    <w:p w:rsidR="00D955F7" w:rsidRPr="00795795" w:rsidRDefault="00D955F7" w:rsidP="00D955F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Тулпар ХК-ийн Хувьцаа</w:t>
      </w:r>
      <w:r>
        <w:rPr>
          <w:rFonts w:ascii="Arial" w:hAnsi="Arial" w:cs="Arial"/>
          <w:i/>
          <w:sz w:val="24"/>
          <w:szCs w:val="24"/>
          <w:lang w:val="mn-MN"/>
        </w:rPr>
        <w:t xml:space="preserve"> эзэмшигчдийн ээлжит хурлыг 2017 оны 04 дүгээр сарын 14</w:t>
      </w:r>
      <w:r w:rsidRPr="00795795">
        <w:rPr>
          <w:rFonts w:ascii="Arial" w:hAnsi="Arial" w:cs="Arial"/>
          <w:i/>
          <w:sz w:val="24"/>
          <w:szCs w:val="24"/>
          <w:lang w:val="mn-MN"/>
        </w:rPr>
        <w:t>-ны өдрийн 15:00 цагт Баян-Өлгий аймагийн Өлгий сумын 13-р багийн Тулпар ХК-ны байр сургалтын танхимд зарлан хуралдуулсугай.</w:t>
      </w:r>
    </w:p>
    <w:p w:rsidR="00D955F7" w:rsidRPr="00795795" w:rsidRDefault="00D955F7" w:rsidP="00D955F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Хувьцаа эзэмшигчдийн ээлжит хурлаар дараах асуудлуудыг хэлэлцэхээр оруулсугай.</w:t>
      </w:r>
    </w:p>
    <w:p w:rsidR="00D955F7" w:rsidRPr="00795795" w:rsidRDefault="00D955F7" w:rsidP="00D955F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2016</w:t>
      </w: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оны компанийн санхүүгийн тайлан, түүнд хийгдсэн хараат бус аудиторын дүгнэлт</w:t>
      </w:r>
    </w:p>
    <w:p w:rsidR="00D955F7" w:rsidRDefault="00D955F7" w:rsidP="00D955F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2016</w:t>
      </w: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оны компанийн үйл ажиллагааны тайлан </w:t>
      </w:r>
    </w:p>
    <w:p w:rsidR="00D955F7" w:rsidRPr="00795795" w:rsidRDefault="00D955F7" w:rsidP="00D955F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Компанийг өөрчлөн байгуулах төсөл</w:t>
      </w:r>
    </w:p>
    <w:p w:rsidR="00D955F7" w:rsidRDefault="00D955F7" w:rsidP="00D955F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>ТУЗ-ийн гишүүдийн бүрэлдэхүүнийг сонгох</w:t>
      </w:r>
    </w:p>
    <w:p w:rsidR="00D955F7" w:rsidRPr="00795795" w:rsidRDefault="00D955F7" w:rsidP="00D955F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Аудитор хийлгэх компани сонгох.</w:t>
      </w:r>
    </w:p>
    <w:p w:rsidR="00D955F7" w:rsidRPr="00795795" w:rsidRDefault="00D955F7" w:rsidP="00D955F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2017</w:t>
      </w: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оны зорилт, бусад асуудал</w:t>
      </w:r>
    </w:p>
    <w:p w:rsidR="00D955F7" w:rsidRPr="00795795" w:rsidRDefault="00D955F7" w:rsidP="00D955F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Хувьцаа эзэмшигчдийн ээлжит хуралд оролцох хувьцаа эзэшигчдийн нэрсийн жагсаа</w:t>
      </w:r>
      <w:r>
        <w:rPr>
          <w:rFonts w:ascii="Arial" w:hAnsi="Arial" w:cs="Arial"/>
          <w:i/>
          <w:sz w:val="24"/>
          <w:szCs w:val="24"/>
          <w:lang w:val="mn-MN"/>
        </w:rPr>
        <w:t>лт гаргах бүртгэлийн өдрийг 2017 оны 03 дугаар сарын 04</w:t>
      </w:r>
      <w:r w:rsidRPr="00795795">
        <w:rPr>
          <w:rFonts w:ascii="Arial" w:hAnsi="Arial" w:cs="Arial"/>
          <w:i/>
          <w:sz w:val="24"/>
          <w:szCs w:val="24"/>
          <w:lang w:val="mn-MN"/>
        </w:rPr>
        <w:t>-ны өдрөөр тогтоосугай.</w:t>
      </w:r>
    </w:p>
    <w:p w:rsidR="00D955F7" w:rsidRPr="00795795" w:rsidRDefault="00D955F7" w:rsidP="00D955F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Компанийн ээлжит хурлыг хуралдуулах шийдвэр гарсантай холбогдуулан хуралд оролцох эрх бүхий хувьцаа эзэмшиг</w:t>
      </w:r>
      <w:r>
        <w:rPr>
          <w:rFonts w:ascii="Arial" w:hAnsi="Arial" w:cs="Arial"/>
          <w:i/>
          <w:sz w:val="24"/>
          <w:szCs w:val="24"/>
          <w:lang w:val="mn-MN"/>
        </w:rPr>
        <w:t xml:space="preserve">чдэд хурлын зарыг хүргэхээр 2017 </w:t>
      </w:r>
      <w:r>
        <w:rPr>
          <w:rFonts w:ascii="Arial" w:hAnsi="Arial" w:cs="Arial"/>
          <w:i/>
          <w:sz w:val="24"/>
          <w:szCs w:val="24"/>
          <w:lang w:val="mn-MN"/>
        </w:rPr>
        <w:lastRenderedPageBreak/>
        <w:t xml:space="preserve">оны 02 дугаар сарын 22-ны өдрөөр </w:t>
      </w: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өдөр тутмын 2-оос доошгүй сонин болон хэвлэл мэдээллийн хэрэгслээр мэдээлэх. Энэ мэдээллийг дээрх хэлбэр шаардлагын дагуу анх мэдээлсэн өдрөөс хойш 15 </w:t>
      </w:r>
      <w:r>
        <w:rPr>
          <w:rFonts w:ascii="Arial" w:hAnsi="Arial" w:cs="Arial"/>
          <w:i/>
          <w:sz w:val="24"/>
          <w:szCs w:val="24"/>
          <w:lang w:val="mn-MN"/>
        </w:rPr>
        <w:t xml:space="preserve">хоногийн дараа дахин мэдээлж хөрөнгийн биржийн цахим хуудасанд тавихыг </w:t>
      </w: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хурал зохион байгуулах комисст даалгасугай.</w:t>
      </w:r>
    </w:p>
    <w:p w:rsidR="00D955F7" w:rsidRPr="00795795" w:rsidRDefault="00D955F7" w:rsidP="00D955F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Ээлжит хурлын дэгийг 01 дүгээр хавсралтаар, хуралд оролцох эрх бүхий хувьцаа эзэмшигчид нь энэхүү шийдвэрийн 02 дугаар хав</w:t>
      </w:r>
      <w:r>
        <w:rPr>
          <w:rFonts w:ascii="Arial" w:hAnsi="Arial" w:cs="Arial"/>
          <w:i/>
          <w:sz w:val="24"/>
          <w:szCs w:val="24"/>
          <w:lang w:val="mn-MN"/>
        </w:rPr>
        <w:t>с</w:t>
      </w:r>
      <w:r w:rsidRPr="00795795">
        <w:rPr>
          <w:rFonts w:ascii="Arial" w:hAnsi="Arial" w:cs="Arial"/>
          <w:i/>
          <w:sz w:val="24"/>
          <w:szCs w:val="24"/>
          <w:lang w:val="mn-MN"/>
        </w:rPr>
        <w:t>ралтанд заасан бичиг баримтыг ажлын өдрүүдэд 09:00-17:00 цагийн хороонд Тулпах ХК-ны байранд ТУЗ-ийн нарийн бичгийн дарга С.Нурланаас танилцах эрхтэй болохыг дурдсугай.</w:t>
      </w:r>
    </w:p>
    <w:p w:rsidR="00D955F7" w:rsidRPr="00795795" w:rsidRDefault="00D955F7" w:rsidP="00D955F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Тус компанийн хувьцаа эзэмшигчдийн ээлжит хуралд оролцох эрх бүхий хувьцаа эзэмшигчдээс хэлэлцэх асуудлаар санал авах “Саналын хуудас” –ын агуулгыг 03 дугаар хавралтаар баталсугай.</w:t>
      </w:r>
    </w:p>
    <w:p w:rsidR="00D955F7" w:rsidRDefault="00D955F7" w:rsidP="00D955F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5795">
        <w:rPr>
          <w:rFonts w:ascii="Arial" w:hAnsi="Arial" w:cs="Arial"/>
          <w:i/>
          <w:sz w:val="24"/>
          <w:szCs w:val="24"/>
          <w:lang w:val="mn-MN"/>
        </w:rPr>
        <w:t xml:space="preserve"> Хувьцаа эзэмшигчдээс са</w:t>
      </w:r>
      <w:r>
        <w:rPr>
          <w:rFonts w:ascii="Arial" w:hAnsi="Arial" w:cs="Arial"/>
          <w:i/>
          <w:sz w:val="24"/>
          <w:szCs w:val="24"/>
          <w:lang w:val="mn-MN"/>
        </w:rPr>
        <w:t>нал авах хуудсыг хүлээн авах сүү</w:t>
      </w:r>
      <w:r w:rsidRPr="00795795">
        <w:rPr>
          <w:rFonts w:ascii="Arial" w:hAnsi="Arial" w:cs="Arial"/>
          <w:i/>
          <w:sz w:val="24"/>
          <w:szCs w:val="24"/>
          <w:lang w:val="mn-MN"/>
        </w:rPr>
        <w:t>лчийн өдрийг харьяалагдах брокер, дилерийн компаниар дамжуулан хурал хуралдах өдрөөс ажлын 5-аас доошгүй хоногийн өмнө байхаар тогтосугай.</w:t>
      </w:r>
    </w:p>
    <w:p w:rsidR="00D955F7" w:rsidRPr="00795795" w:rsidRDefault="00D955F7" w:rsidP="00D955F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 Компанийн тухай хуулийн 65 дугаар зүйлийн 65.6 –д заасны дагуу хувьцаа эзэмшигчдийн ээлжит хурал хуралдах үед хувьцаа эзэмшигчдийг компанийн холбогдох бичиг материалтай танилцуулахыг  ТУЗ-ын нарийн бичгийн дарга С.Нурланд далгаасугай. </w:t>
      </w:r>
    </w:p>
    <w:p w:rsidR="00D955F7" w:rsidRPr="00795795" w:rsidRDefault="00D955F7" w:rsidP="00D955F7">
      <w:pPr>
        <w:rPr>
          <w:i/>
          <w:lang w:val="mn-MN"/>
        </w:rPr>
      </w:pPr>
    </w:p>
    <w:p w:rsidR="00D955F7" w:rsidRPr="00795795" w:rsidRDefault="00D955F7" w:rsidP="00D955F7">
      <w:pPr>
        <w:rPr>
          <w:i/>
          <w:lang w:val="mn-MN"/>
        </w:rPr>
      </w:pPr>
    </w:p>
    <w:p w:rsidR="00D955F7" w:rsidRDefault="00D955F7" w:rsidP="00D955F7">
      <w:pPr>
        <w:rPr>
          <w:lang w:val="mn-MN"/>
        </w:rPr>
      </w:pPr>
    </w:p>
    <w:p w:rsidR="00D955F7" w:rsidRPr="00CD33CC" w:rsidRDefault="00D955F7" w:rsidP="00D955F7">
      <w:pPr>
        <w:rPr>
          <w:lang w:val="mn-MN"/>
        </w:rPr>
      </w:pPr>
    </w:p>
    <w:p w:rsidR="00D955F7" w:rsidRDefault="00D955F7" w:rsidP="00D955F7">
      <w:pPr>
        <w:rPr>
          <w:lang w:val="mn-MN"/>
        </w:rPr>
      </w:pPr>
    </w:p>
    <w:p w:rsidR="00D955F7" w:rsidRDefault="00D955F7" w:rsidP="00D955F7">
      <w:pPr>
        <w:rPr>
          <w:lang w:val="mn-MN"/>
        </w:rPr>
      </w:pPr>
    </w:p>
    <w:p w:rsidR="00D955F7" w:rsidRPr="00CD33CC" w:rsidRDefault="00D955F7" w:rsidP="00D955F7">
      <w:pPr>
        <w:rPr>
          <w:lang w:val="mn-MN"/>
        </w:rPr>
      </w:pPr>
    </w:p>
    <w:p w:rsidR="00D955F7" w:rsidRDefault="00D955F7" w:rsidP="00D955F7">
      <w:pPr>
        <w:rPr>
          <w:lang w:val="mn-MN"/>
        </w:rPr>
      </w:pPr>
    </w:p>
    <w:p w:rsidR="00D955F7" w:rsidRPr="00D319F6" w:rsidRDefault="00D955F7" w:rsidP="00D955F7">
      <w:pPr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D319F6">
        <w:rPr>
          <w:rFonts w:ascii="Arial" w:hAnsi="Arial" w:cs="Arial"/>
          <w:i/>
          <w:sz w:val="24"/>
          <w:szCs w:val="24"/>
          <w:lang w:val="mn-MN"/>
        </w:rPr>
        <w:t xml:space="preserve">ТУЗ-ийн Дарга        </w:t>
      </w:r>
      <w:r>
        <w:rPr>
          <w:rFonts w:ascii="Arial" w:hAnsi="Arial" w:cs="Arial"/>
          <w:i/>
          <w:sz w:val="24"/>
          <w:szCs w:val="24"/>
          <w:lang w:val="mn-MN"/>
        </w:rPr>
        <w:t xml:space="preserve">         </w:t>
      </w:r>
      <w:r w:rsidRPr="00D319F6">
        <w:rPr>
          <w:rFonts w:ascii="Arial" w:hAnsi="Arial" w:cs="Arial"/>
          <w:i/>
          <w:sz w:val="24"/>
          <w:szCs w:val="24"/>
          <w:lang w:val="mn-MN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 xml:space="preserve">    </w:t>
      </w:r>
      <w:r w:rsidRPr="00D319F6">
        <w:rPr>
          <w:rFonts w:ascii="Arial" w:hAnsi="Arial" w:cs="Arial"/>
          <w:i/>
          <w:sz w:val="24"/>
          <w:szCs w:val="24"/>
          <w:lang w:val="mn-MN"/>
        </w:rPr>
        <w:t xml:space="preserve">     </w:t>
      </w:r>
      <w:r>
        <w:rPr>
          <w:rFonts w:ascii="Arial" w:hAnsi="Arial" w:cs="Arial"/>
          <w:i/>
          <w:sz w:val="24"/>
          <w:szCs w:val="24"/>
          <w:lang w:val="mn-MN"/>
        </w:rPr>
        <w:t xml:space="preserve">  М.Жанатхан</w:t>
      </w:r>
    </w:p>
    <w:p w:rsidR="00686954" w:rsidRDefault="00D955F7"/>
    <w:sectPr w:rsidR="00686954" w:rsidSect="00D955F7">
      <w:pgSz w:w="12240" w:h="15840"/>
      <w:pgMar w:top="90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545A"/>
    <w:multiLevelType w:val="hybridMultilevel"/>
    <w:tmpl w:val="C6D6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9D5"/>
    <w:multiLevelType w:val="hybridMultilevel"/>
    <w:tmpl w:val="8062A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5F7"/>
    <w:rsid w:val="00113484"/>
    <w:rsid w:val="00885081"/>
    <w:rsid w:val="00D955F7"/>
    <w:rsid w:val="00D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bu009</dc:creator>
  <cp:lastModifiedBy>bu009</cp:lastModifiedBy>
  <cp:revision>1</cp:revision>
  <dcterms:created xsi:type="dcterms:W3CDTF">2017-02-22T06:44:00Z</dcterms:created>
  <dcterms:modified xsi:type="dcterms:W3CDTF">2017-02-22T06:44:00Z</dcterms:modified>
</cp:coreProperties>
</file>